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4.xml" ContentType="application/vnd.openxmlformats-officedocument.wordprocessingml.header+xml"/>
  <Override PartName="/word/footer2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4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AFCA" w14:textId="181C87A4" w:rsidR="00EE74F9" w:rsidRPr="002513B4" w:rsidRDefault="00EE74F9" w:rsidP="00EE74F9">
      <w:pPr>
        <w:pStyle w:val="Title"/>
        <w:shd w:val="clear" w:color="auto" w:fill="auto"/>
        <w:spacing w:before="1920"/>
        <w:rPr>
          <w:color w:val="auto"/>
          <w:lang w:val="en-US"/>
        </w:rPr>
      </w:pPr>
      <w:bookmarkStart w:id="0" w:name="_Toc224984476"/>
      <w:bookmarkStart w:id="1" w:name="_Toc237346744"/>
      <w:bookmarkStart w:id="2" w:name="_Toc250478638"/>
      <w:r w:rsidRPr="002513B4">
        <w:rPr>
          <w:color w:val="auto"/>
          <w:lang w:val="en-US"/>
        </w:rPr>
        <w:t>Home Health Care CAHPS</w:t>
      </w:r>
      <w:r w:rsidRPr="002513B4">
        <w:rPr>
          <w:color w:val="auto"/>
          <w:vertAlign w:val="superscript"/>
          <w:lang w:val="en-US"/>
        </w:rPr>
        <w:t xml:space="preserve">® </w:t>
      </w:r>
      <w:r w:rsidRPr="002513B4">
        <w:rPr>
          <w:color w:val="auto"/>
          <w:lang w:val="en-US"/>
        </w:rPr>
        <w:t>Survey</w:t>
      </w:r>
    </w:p>
    <w:p w14:paraId="624A8689" w14:textId="77777777" w:rsidR="00EE74F9" w:rsidRPr="002513B4" w:rsidRDefault="00EE74F9" w:rsidP="00EA3F23">
      <w:pPr>
        <w:pStyle w:val="Title"/>
        <w:shd w:val="clear" w:color="auto" w:fill="1F497D"/>
        <w:rPr>
          <w:lang w:val="en-US"/>
        </w:rPr>
      </w:pPr>
      <w:r w:rsidRPr="002513B4">
        <w:rPr>
          <w:lang w:val="en-US"/>
        </w:rPr>
        <w:t>Protocols and Guidelines Manual</w:t>
      </w:r>
    </w:p>
    <w:p w14:paraId="601831C6" w14:textId="32FB82A5" w:rsidR="00EE74F9" w:rsidRPr="002513B4" w:rsidRDefault="00EE74F9" w:rsidP="00EE74F9">
      <w:pPr>
        <w:pStyle w:val="Subtitle"/>
        <w:rPr>
          <w:lang w:val="en-US"/>
        </w:rPr>
      </w:pPr>
      <w:r w:rsidRPr="002513B4">
        <w:rPr>
          <w:lang w:val="en-US"/>
        </w:rPr>
        <w:t xml:space="preserve">Version </w:t>
      </w:r>
      <w:r w:rsidR="0068405D" w:rsidRPr="002513B4">
        <w:rPr>
          <w:lang w:val="en-US"/>
        </w:rPr>
        <w:t>1</w:t>
      </w:r>
      <w:r w:rsidR="008C272D" w:rsidRPr="002513B4">
        <w:rPr>
          <w:lang w:val="en-US"/>
        </w:rPr>
        <w:t>8</w:t>
      </w:r>
      <w:r w:rsidRPr="002513B4">
        <w:rPr>
          <w:lang w:val="en-US"/>
        </w:rPr>
        <w:t>.0</w:t>
      </w:r>
    </w:p>
    <w:p w14:paraId="1B3A6A60" w14:textId="75CFBEA4" w:rsidR="00EE74F9" w:rsidRPr="002513B4" w:rsidRDefault="00EE74F9" w:rsidP="00EE74F9">
      <w:pPr>
        <w:pStyle w:val="Date"/>
        <w:rPr>
          <w:lang w:val="en-US"/>
        </w:rPr>
      </w:pPr>
      <w:r w:rsidRPr="002513B4">
        <w:rPr>
          <w:lang w:val="en-US"/>
        </w:rPr>
        <w:t xml:space="preserve">January </w:t>
      </w:r>
      <w:r w:rsidR="0068405D" w:rsidRPr="002513B4">
        <w:rPr>
          <w:lang w:val="en-US"/>
        </w:rPr>
        <w:t>202</w:t>
      </w:r>
      <w:r w:rsidR="008C272D" w:rsidRPr="002513B4">
        <w:rPr>
          <w:lang w:val="en-US"/>
        </w:rPr>
        <w:t>6</w:t>
      </w:r>
    </w:p>
    <w:p w14:paraId="2B0F9881" w14:textId="77777777" w:rsidR="00EE74F9" w:rsidRPr="002513B4" w:rsidRDefault="000A4A95" w:rsidP="00EE74F9">
      <w:pPr>
        <w:pStyle w:val="Graphic"/>
      </w:pPr>
      <w:r w:rsidRPr="002513B4">
        <w:rPr>
          <w:noProof/>
        </w:rPr>
        <w:drawing>
          <wp:inline distT="0" distB="0" distL="0" distR="0" wp14:anchorId="46CBA2F6" wp14:editId="16A6BD60">
            <wp:extent cx="1915795" cy="848995"/>
            <wp:effectExtent l="0" t="0" r="0" b="0"/>
            <wp:docPr id="1569025158" name="Picture 1" descr="Logo for Centers for Medicare and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15795" cy="848995"/>
                    </a:xfrm>
                    <a:prstGeom prst="rect">
                      <a:avLst/>
                    </a:prstGeom>
                    <a:noFill/>
                    <a:ln>
                      <a:noFill/>
                    </a:ln>
                  </pic:spPr>
                </pic:pic>
              </a:graphicData>
            </a:graphic>
          </wp:inline>
        </w:drawing>
      </w:r>
    </w:p>
    <w:p w14:paraId="105A461D" w14:textId="77777777" w:rsidR="00EE74F9" w:rsidRPr="002513B4" w:rsidRDefault="00EE74F9" w:rsidP="00EE74F9">
      <w:pPr>
        <w:pStyle w:val="BodyText"/>
        <w:rPr>
          <w:lang w:val="en-US"/>
        </w:rPr>
      </w:pPr>
    </w:p>
    <w:p w14:paraId="72407151" w14:textId="77777777" w:rsidR="00EE74F9" w:rsidRPr="002513B4" w:rsidRDefault="00EE74F9" w:rsidP="00EE74F9">
      <w:pPr>
        <w:pStyle w:val="BodyText"/>
        <w:rPr>
          <w:lang w:val="en-US"/>
        </w:rPr>
        <w:sectPr w:rsidR="00EE74F9" w:rsidRPr="002513B4" w:rsidSect="001B671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20"/>
          <w:titlePg/>
        </w:sectPr>
      </w:pPr>
    </w:p>
    <w:p w14:paraId="3D9A5D20" w14:textId="77777777" w:rsidR="00EE74F9" w:rsidRPr="002513B4" w:rsidRDefault="00EE74F9" w:rsidP="00EE74F9">
      <w:pPr>
        <w:pStyle w:val="FMHeading1"/>
      </w:pPr>
      <w:bookmarkStart w:id="3" w:name="_Toc407633033"/>
      <w:bookmarkStart w:id="4" w:name="_Toc217305545"/>
      <w:r w:rsidRPr="002513B4">
        <w:lastRenderedPageBreak/>
        <w:t>Communications and Technical Support for the Home Health Care CAHPS Survey</w:t>
      </w:r>
      <w:bookmarkEnd w:id="3"/>
      <w:bookmarkEnd w:id="4"/>
    </w:p>
    <w:p w14:paraId="65F36D0A" w14:textId="77777777" w:rsidR="00EE74F9" w:rsidRPr="002513B4" w:rsidRDefault="00EE74F9" w:rsidP="00EE74F9">
      <w:pPr>
        <w:pStyle w:val="BodyText"/>
        <w:spacing w:after="720"/>
        <w:rPr>
          <w:b/>
          <w:lang w:val="en-US"/>
        </w:rPr>
      </w:pPr>
      <w:r w:rsidRPr="002513B4">
        <w:rPr>
          <w:b/>
          <w:lang w:val="en-US"/>
        </w:rPr>
        <w:t xml:space="preserve">Home health agencies and survey vendors may use the following resources to obtain information or technical support with any aspect of the Home Health Care CAHPS </w:t>
      </w:r>
      <w:r w:rsidR="0001157A" w:rsidRPr="002513B4">
        <w:rPr>
          <w:b/>
          <w:lang w:val="en-US"/>
        </w:rPr>
        <w:t xml:space="preserve">(HHCAHPS) </w:t>
      </w:r>
      <w:r w:rsidRPr="002513B4">
        <w:rPr>
          <w:b/>
          <w:lang w:val="en-US"/>
        </w:rPr>
        <w:t>Survey.</w:t>
      </w:r>
    </w:p>
    <w:p w14:paraId="46AAFF5C" w14:textId="3BFFC332" w:rsidR="00EE74F9" w:rsidRPr="002513B4" w:rsidRDefault="00EE74F9" w:rsidP="00EE74F9">
      <w:pPr>
        <w:pStyle w:val="ListBullet3"/>
      </w:pPr>
      <w:r w:rsidRPr="002513B4">
        <w:t xml:space="preserve">For general information, important news, updates, and all materials to support implementation of the </w:t>
      </w:r>
      <w:r w:rsidR="0001157A" w:rsidRPr="002513B4">
        <w:t>HH</w:t>
      </w:r>
      <w:r w:rsidRPr="002513B4">
        <w:t>CAHPS Survey</w:t>
      </w:r>
      <w:r w:rsidR="005D7899" w:rsidRPr="002513B4">
        <w:t xml:space="preserve">, visit the </w:t>
      </w:r>
      <w:hyperlink r:id="rId19" w:history="1">
        <w:r w:rsidR="005D7899" w:rsidRPr="002513B4">
          <w:rPr>
            <w:rStyle w:val="Hyperlink"/>
          </w:rPr>
          <w:t>HHCAHPS Survey website</w:t>
        </w:r>
      </w:hyperlink>
      <w:r w:rsidR="005D7899" w:rsidRPr="002513B4">
        <w:t> </w:t>
      </w:r>
      <w:r w:rsidR="005D7899" w:rsidRPr="002513B4">
        <w:rPr>
          <w:noProof/>
        </w:rPr>
        <w:drawing>
          <wp:inline distT="0" distB="0" distL="0" distR="0" wp14:anchorId="5DF02A0E" wp14:editId="618A5392">
            <wp:extent cx="95250" cy="95250"/>
            <wp:effectExtent l="0" t="0" r="0" b="0"/>
            <wp:docPr id="129882905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t>:</w:t>
      </w:r>
    </w:p>
    <w:p w14:paraId="29134763" w14:textId="021F8A83" w:rsidR="00EE74F9" w:rsidRPr="002513B4" w:rsidRDefault="00EE74F9" w:rsidP="00EE74F9">
      <w:pPr>
        <w:pStyle w:val="BodyText"/>
        <w:spacing w:after="360"/>
        <w:jc w:val="center"/>
        <w:rPr>
          <w:lang w:val="en-US"/>
        </w:rPr>
      </w:pPr>
      <w:r w:rsidRPr="002513B4">
        <w:rPr>
          <w:b/>
          <w:sz w:val="28"/>
          <w:szCs w:val="28"/>
          <w:lang w:val="en-US"/>
        </w:rPr>
        <w:t>https://homehealthcahps.org</w:t>
      </w:r>
    </w:p>
    <w:p w14:paraId="63A66812" w14:textId="77777777" w:rsidR="00EE74F9" w:rsidRPr="002513B4" w:rsidRDefault="00EE74F9" w:rsidP="00EE74F9">
      <w:pPr>
        <w:pStyle w:val="ListBullet3"/>
      </w:pPr>
      <w:r w:rsidRPr="002513B4">
        <w:t xml:space="preserve">For technical assistance, contact the </w:t>
      </w:r>
      <w:r w:rsidR="0001157A" w:rsidRPr="002513B4">
        <w:t>HH</w:t>
      </w:r>
      <w:r w:rsidRPr="002513B4">
        <w:t>CAHPS Survey Coordination Team as noted below.</w:t>
      </w:r>
    </w:p>
    <w:p w14:paraId="01F362D8" w14:textId="77777777" w:rsidR="00EE74F9" w:rsidRPr="002513B4" w:rsidRDefault="00EE74F9" w:rsidP="00EE74F9">
      <w:pPr>
        <w:ind w:left="3960" w:hanging="2520"/>
      </w:pPr>
      <w:r w:rsidRPr="002513B4">
        <w:t>By e</w:t>
      </w:r>
      <w:r w:rsidRPr="002513B4">
        <w:noBreakHyphen/>
        <w:t>mail:</w:t>
      </w:r>
      <w:r w:rsidRPr="002513B4">
        <w:tab/>
      </w:r>
      <w:hyperlink r:id="rId22" w:history="1">
        <w:r w:rsidRPr="002513B4">
          <w:rPr>
            <w:rStyle w:val="Hyperlink"/>
          </w:rPr>
          <w:t>hhcahps@rti.org</w:t>
        </w:r>
      </w:hyperlink>
    </w:p>
    <w:p w14:paraId="7123A5F3" w14:textId="77777777" w:rsidR="00EE74F9" w:rsidRPr="002513B4" w:rsidRDefault="00EE74F9" w:rsidP="00EE74F9">
      <w:pPr>
        <w:ind w:left="3960" w:hanging="2520"/>
      </w:pPr>
      <w:r w:rsidRPr="002513B4">
        <w:t>By telephone:</w:t>
      </w:r>
      <w:r w:rsidRPr="002513B4">
        <w:tab/>
        <w:t>(866) 354-0985</w:t>
      </w:r>
    </w:p>
    <w:p w14:paraId="7FA23EEE" w14:textId="77777777" w:rsidR="00EE74F9" w:rsidRPr="002513B4" w:rsidRDefault="00EE74F9" w:rsidP="00EE74F9">
      <w:pPr>
        <w:pStyle w:val="ListBullet3"/>
      </w:pPr>
      <w:r w:rsidRPr="002513B4">
        <w:t xml:space="preserve">Home health agencies (HHAs) and HHCAHPS Survey vendors must provide the HHA’s name and six-digit CMS Certification Number (CCN) when contacting the HHCAHPS </w:t>
      </w:r>
      <w:r w:rsidR="00F2734F" w:rsidRPr="002513B4">
        <w:t xml:space="preserve">Survey </w:t>
      </w:r>
      <w:r w:rsidRPr="002513B4">
        <w:t>Coordination Team by e</w:t>
      </w:r>
      <w:r w:rsidRPr="002513B4">
        <w:noBreakHyphen/>
        <w:t>mail or telephone for technical assistance.</w:t>
      </w:r>
    </w:p>
    <w:p w14:paraId="7646EF58" w14:textId="6E54D466" w:rsidR="00EE74F9" w:rsidRPr="002513B4" w:rsidRDefault="00EE74F9" w:rsidP="00EA3F23">
      <w:pPr>
        <w:pStyle w:val="0BlankPage"/>
      </w:pPr>
      <w:r w:rsidRPr="002513B4">
        <w:br w:type="page"/>
      </w:r>
    </w:p>
    <w:p w14:paraId="1A5905F2" w14:textId="77777777" w:rsidR="00EE74F9" w:rsidRPr="002513B4" w:rsidRDefault="00EE74F9" w:rsidP="00EE74F9">
      <w:pPr>
        <w:sectPr w:rsidR="00EE74F9" w:rsidRPr="002513B4" w:rsidSect="00DC64F2">
          <w:headerReference w:type="first" r:id="rId23"/>
          <w:footerReference w:type="first" r:id="rId24"/>
          <w:pgSz w:w="12240" w:h="15840" w:code="1"/>
          <w:pgMar w:top="1440" w:right="1440" w:bottom="1440" w:left="1440" w:header="720" w:footer="720" w:gutter="0"/>
          <w:pgNumType w:fmt="lowerRoman" w:start="1"/>
          <w:cols w:space="720"/>
          <w:titlePg/>
        </w:sectPr>
      </w:pPr>
      <w:bookmarkStart w:id="5" w:name="_Toc251135640"/>
    </w:p>
    <w:p w14:paraId="6445DBDF" w14:textId="77777777" w:rsidR="00EE74F9" w:rsidRPr="002513B4" w:rsidRDefault="00EE74F9" w:rsidP="00EE74F9">
      <w:pPr>
        <w:pStyle w:val="FMHeading1"/>
      </w:pPr>
      <w:bookmarkStart w:id="6" w:name="_Toc251318111"/>
      <w:bookmarkStart w:id="7" w:name="_Toc343765374"/>
      <w:bookmarkStart w:id="8" w:name="_Toc407633034"/>
      <w:bookmarkStart w:id="9" w:name="_Toc217305546"/>
      <w:bookmarkEnd w:id="5"/>
      <w:r w:rsidRPr="002513B4">
        <w:lastRenderedPageBreak/>
        <w:t>List of Abbreviations and Acronyms</w:t>
      </w:r>
      <w:r w:rsidRPr="002513B4">
        <w:br/>
        <w:t>Home Health Care CAHPS Survey Protocols and Guidelines Manual</w:t>
      </w:r>
      <w:bookmarkEnd w:id="6"/>
      <w:bookmarkEnd w:id="7"/>
      <w:bookmarkEnd w:id="8"/>
      <w:bookmarkEnd w:id="9"/>
    </w:p>
    <w:tbl>
      <w:tblPr>
        <w:tblW w:w="9468" w:type="dxa"/>
        <w:tblLayout w:type="fixed"/>
        <w:tblCellMar>
          <w:left w:w="115" w:type="dxa"/>
          <w:right w:w="115" w:type="dxa"/>
        </w:tblCellMar>
        <w:tblLook w:val="0180" w:firstRow="0" w:lastRow="0" w:firstColumn="1" w:lastColumn="1" w:noHBand="0" w:noVBand="0"/>
        <w:tblCaption w:val="List of Abbreviations and Acronyms in Protocols and Guidelines Manual"/>
        <w:tblDescription w:val="This table summarizes the abbreviations and acronyms used throughout the manual and their cooresponding full term or phrase."/>
      </w:tblPr>
      <w:tblGrid>
        <w:gridCol w:w="1908"/>
        <w:gridCol w:w="7560"/>
      </w:tblGrid>
      <w:tr w:rsidR="00EE74F9" w:rsidRPr="002513B4" w14:paraId="0405BA47" w14:textId="77777777" w:rsidTr="00150E99">
        <w:trPr>
          <w:cantSplit/>
          <w:tblHeader/>
        </w:trPr>
        <w:tc>
          <w:tcPr>
            <w:tcW w:w="1908" w:type="dxa"/>
            <w:tcBorders>
              <w:top w:val="single" w:sz="8" w:space="0" w:color="1F497D"/>
              <w:bottom w:val="single" w:sz="8" w:space="0" w:color="1F497D"/>
            </w:tcBorders>
            <w:shd w:val="clear" w:color="auto" w:fill="1F497D"/>
            <w:vAlign w:val="bottom"/>
          </w:tcPr>
          <w:p w14:paraId="6710D460" w14:textId="77777777" w:rsidR="00EE74F9" w:rsidRPr="002513B4" w:rsidRDefault="00EE74F9" w:rsidP="00150E99">
            <w:pPr>
              <w:pStyle w:val="TableHeaders"/>
              <w:jc w:val="right"/>
              <w:rPr>
                <w:color w:val="FFFFFF" w:themeColor="background1"/>
              </w:rPr>
            </w:pPr>
            <w:r w:rsidRPr="002513B4">
              <w:rPr>
                <w:color w:val="FFFFFF" w:themeColor="background1"/>
              </w:rPr>
              <w:t>Abbreviation/</w:t>
            </w:r>
            <w:r w:rsidRPr="002513B4">
              <w:rPr>
                <w:color w:val="FFFFFF" w:themeColor="background1"/>
              </w:rPr>
              <w:br/>
              <w:t>Acronym</w:t>
            </w:r>
          </w:p>
        </w:tc>
        <w:tc>
          <w:tcPr>
            <w:tcW w:w="7560" w:type="dxa"/>
            <w:tcBorders>
              <w:top w:val="single" w:sz="8" w:space="0" w:color="1F497D"/>
              <w:bottom w:val="single" w:sz="8" w:space="0" w:color="1F497D"/>
            </w:tcBorders>
            <w:shd w:val="clear" w:color="auto" w:fill="1F497D"/>
            <w:vAlign w:val="bottom"/>
          </w:tcPr>
          <w:p w14:paraId="0BB042F7" w14:textId="77777777" w:rsidR="00EE74F9" w:rsidRPr="002513B4" w:rsidRDefault="00EE74F9" w:rsidP="00C553FE">
            <w:pPr>
              <w:pStyle w:val="TableHeaders"/>
              <w:rPr>
                <w:color w:val="FFFFFF" w:themeColor="background1"/>
              </w:rPr>
            </w:pPr>
            <w:r w:rsidRPr="002513B4">
              <w:rPr>
                <w:color w:val="FFFFFF" w:themeColor="background1"/>
              </w:rPr>
              <w:t>Term/Phrase</w:t>
            </w:r>
          </w:p>
        </w:tc>
      </w:tr>
      <w:tr w:rsidR="00EE74F9" w:rsidRPr="002513B4" w14:paraId="767C0251" w14:textId="77777777" w:rsidTr="00150E99">
        <w:trPr>
          <w:cantSplit/>
        </w:trPr>
        <w:tc>
          <w:tcPr>
            <w:tcW w:w="1908" w:type="dxa"/>
            <w:tcBorders>
              <w:top w:val="single" w:sz="8" w:space="0" w:color="1F497D"/>
            </w:tcBorders>
          </w:tcPr>
          <w:p w14:paraId="6AC7E046" w14:textId="77777777" w:rsidR="00EE74F9" w:rsidRPr="002513B4" w:rsidRDefault="00EE74F9" w:rsidP="00150E99">
            <w:pPr>
              <w:pStyle w:val="Tabletext0"/>
              <w:jc w:val="right"/>
              <w:rPr>
                <w:szCs w:val="20"/>
              </w:rPr>
            </w:pPr>
            <w:r w:rsidRPr="002513B4">
              <w:rPr>
                <w:szCs w:val="20"/>
              </w:rPr>
              <w:t>AAPOR</w:t>
            </w:r>
          </w:p>
        </w:tc>
        <w:tc>
          <w:tcPr>
            <w:tcW w:w="7560" w:type="dxa"/>
            <w:tcBorders>
              <w:top w:val="single" w:sz="8" w:space="0" w:color="1F497D"/>
            </w:tcBorders>
          </w:tcPr>
          <w:p w14:paraId="10F3DD43" w14:textId="77777777" w:rsidR="00EE74F9" w:rsidRPr="002513B4" w:rsidRDefault="00EE74F9" w:rsidP="00C553FE">
            <w:pPr>
              <w:pStyle w:val="Tabletext0"/>
              <w:rPr>
                <w:szCs w:val="20"/>
              </w:rPr>
            </w:pPr>
            <w:r w:rsidRPr="002513B4">
              <w:rPr>
                <w:szCs w:val="20"/>
              </w:rPr>
              <w:t>American Association for Public Opinion Research</w:t>
            </w:r>
          </w:p>
        </w:tc>
      </w:tr>
      <w:tr w:rsidR="00EE74F9" w:rsidRPr="002513B4" w14:paraId="30529942" w14:textId="77777777" w:rsidTr="00150E99">
        <w:trPr>
          <w:cantSplit/>
        </w:trPr>
        <w:tc>
          <w:tcPr>
            <w:tcW w:w="1908" w:type="dxa"/>
          </w:tcPr>
          <w:p w14:paraId="0E71D95C" w14:textId="77777777" w:rsidR="00EE74F9" w:rsidRPr="002513B4" w:rsidRDefault="00EE74F9" w:rsidP="00150E99">
            <w:pPr>
              <w:pStyle w:val="Tabletext0"/>
              <w:jc w:val="right"/>
              <w:rPr>
                <w:szCs w:val="20"/>
              </w:rPr>
            </w:pPr>
            <w:r w:rsidRPr="002513B4">
              <w:rPr>
                <w:szCs w:val="20"/>
              </w:rPr>
              <w:t>ADL</w:t>
            </w:r>
          </w:p>
        </w:tc>
        <w:tc>
          <w:tcPr>
            <w:tcW w:w="7560" w:type="dxa"/>
          </w:tcPr>
          <w:p w14:paraId="40AC62AF" w14:textId="77777777" w:rsidR="00EE74F9" w:rsidRPr="002513B4" w:rsidRDefault="00EE74F9" w:rsidP="00C553FE">
            <w:pPr>
              <w:pStyle w:val="Tabletext0"/>
              <w:rPr>
                <w:szCs w:val="20"/>
              </w:rPr>
            </w:pPr>
            <w:r w:rsidRPr="002513B4">
              <w:rPr>
                <w:szCs w:val="20"/>
              </w:rPr>
              <w:t>Activities of Daily Living</w:t>
            </w:r>
          </w:p>
        </w:tc>
      </w:tr>
      <w:tr w:rsidR="00EE74F9" w:rsidRPr="002513B4" w14:paraId="4E732820" w14:textId="77777777" w:rsidTr="00150E99">
        <w:trPr>
          <w:cantSplit/>
        </w:trPr>
        <w:tc>
          <w:tcPr>
            <w:tcW w:w="1908" w:type="dxa"/>
          </w:tcPr>
          <w:p w14:paraId="6BCE4FF7" w14:textId="77777777" w:rsidR="00EE74F9" w:rsidRPr="002513B4" w:rsidRDefault="00EE74F9" w:rsidP="00150E99">
            <w:pPr>
              <w:pStyle w:val="Tabletext0"/>
              <w:jc w:val="right"/>
              <w:rPr>
                <w:szCs w:val="20"/>
              </w:rPr>
            </w:pPr>
            <w:r w:rsidRPr="002513B4">
              <w:rPr>
                <w:szCs w:val="20"/>
              </w:rPr>
              <w:t>AHRQ</w:t>
            </w:r>
          </w:p>
        </w:tc>
        <w:tc>
          <w:tcPr>
            <w:tcW w:w="7560" w:type="dxa"/>
          </w:tcPr>
          <w:p w14:paraId="64DEB283" w14:textId="77777777" w:rsidR="00EE74F9" w:rsidRPr="002513B4" w:rsidRDefault="00EE74F9" w:rsidP="00C553FE">
            <w:pPr>
              <w:pStyle w:val="Tabletext0"/>
              <w:rPr>
                <w:szCs w:val="20"/>
              </w:rPr>
            </w:pPr>
            <w:r w:rsidRPr="002513B4">
              <w:rPr>
                <w:szCs w:val="20"/>
              </w:rPr>
              <w:t>Agency for Healthcare Research and Quality</w:t>
            </w:r>
          </w:p>
        </w:tc>
      </w:tr>
      <w:tr w:rsidR="00EE74F9" w:rsidRPr="002513B4" w14:paraId="4C102E0C" w14:textId="77777777" w:rsidTr="00150E99">
        <w:trPr>
          <w:cantSplit/>
        </w:trPr>
        <w:tc>
          <w:tcPr>
            <w:tcW w:w="1908" w:type="dxa"/>
          </w:tcPr>
          <w:p w14:paraId="32D739FA" w14:textId="77777777" w:rsidR="00EE74F9" w:rsidRPr="002513B4" w:rsidRDefault="00EE74F9" w:rsidP="00150E99">
            <w:pPr>
              <w:pStyle w:val="Tabletext0"/>
              <w:jc w:val="right"/>
              <w:rPr>
                <w:szCs w:val="20"/>
              </w:rPr>
            </w:pPr>
            <w:r w:rsidRPr="002513B4">
              <w:rPr>
                <w:szCs w:val="20"/>
              </w:rPr>
              <w:t>APU</w:t>
            </w:r>
          </w:p>
        </w:tc>
        <w:tc>
          <w:tcPr>
            <w:tcW w:w="7560" w:type="dxa"/>
          </w:tcPr>
          <w:p w14:paraId="05D80A4F" w14:textId="77777777" w:rsidR="00EE74F9" w:rsidRPr="002513B4" w:rsidRDefault="00EE74F9" w:rsidP="00C553FE">
            <w:pPr>
              <w:pStyle w:val="Tabletext0"/>
              <w:rPr>
                <w:szCs w:val="20"/>
              </w:rPr>
            </w:pPr>
            <w:r w:rsidRPr="002513B4">
              <w:rPr>
                <w:szCs w:val="20"/>
              </w:rPr>
              <w:t>Annual Payment Update</w:t>
            </w:r>
          </w:p>
        </w:tc>
      </w:tr>
      <w:tr w:rsidR="00EE74F9" w:rsidRPr="002513B4" w14:paraId="4C8C158C" w14:textId="77777777" w:rsidTr="00150E99">
        <w:trPr>
          <w:cantSplit/>
        </w:trPr>
        <w:tc>
          <w:tcPr>
            <w:tcW w:w="1908" w:type="dxa"/>
          </w:tcPr>
          <w:p w14:paraId="23C368CA" w14:textId="77777777" w:rsidR="00EE74F9" w:rsidRPr="002513B4" w:rsidRDefault="00EE74F9" w:rsidP="00150E99">
            <w:pPr>
              <w:pStyle w:val="Tabletext0"/>
              <w:jc w:val="right"/>
              <w:rPr>
                <w:szCs w:val="20"/>
              </w:rPr>
            </w:pPr>
            <w:r w:rsidRPr="002513B4">
              <w:rPr>
                <w:szCs w:val="20"/>
              </w:rPr>
              <w:t>CAHPS</w:t>
            </w:r>
          </w:p>
        </w:tc>
        <w:tc>
          <w:tcPr>
            <w:tcW w:w="7560" w:type="dxa"/>
          </w:tcPr>
          <w:p w14:paraId="1A97CC7A" w14:textId="77777777" w:rsidR="00EE74F9" w:rsidRPr="002513B4" w:rsidRDefault="00EE74F9" w:rsidP="00C553FE">
            <w:pPr>
              <w:pStyle w:val="Tabletext0"/>
              <w:rPr>
                <w:szCs w:val="20"/>
              </w:rPr>
            </w:pPr>
            <w:r w:rsidRPr="002513B4">
              <w:rPr>
                <w:szCs w:val="20"/>
              </w:rPr>
              <w:t>Consumer Assessment of Healthcare Providers and Systems</w:t>
            </w:r>
          </w:p>
        </w:tc>
      </w:tr>
      <w:tr w:rsidR="00FB58FC" w:rsidRPr="002513B4" w14:paraId="5AAE37C0" w14:textId="77777777" w:rsidTr="00150E99">
        <w:trPr>
          <w:cantSplit/>
        </w:trPr>
        <w:tc>
          <w:tcPr>
            <w:tcW w:w="1908" w:type="dxa"/>
          </w:tcPr>
          <w:p w14:paraId="2243D496" w14:textId="6FAC8C91" w:rsidR="00FB58FC" w:rsidRPr="002513B4" w:rsidRDefault="00FB58FC" w:rsidP="00150E99">
            <w:pPr>
              <w:pStyle w:val="Tabletext0"/>
              <w:jc w:val="right"/>
              <w:rPr>
                <w:szCs w:val="20"/>
              </w:rPr>
            </w:pPr>
            <w:r w:rsidRPr="002513B4">
              <w:rPr>
                <w:szCs w:val="20"/>
              </w:rPr>
              <w:t>CAP</w:t>
            </w:r>
          </w:p>
        </w:tc>
        <w:tc>
          <w:tcPr>
            <w:tcW w:w="7560" w:type="dxa"/>
          </w:tcPr>
          <w:p w14:paraId="1F3F4E5E" w14:textId="6523A083" w:rsidR="00FB58FC" w:rsidRPr="002513B4" w:rsidRDefault="00FB58FC" w:rsidP="00C553FE">
            <w:pPr>
              <w:pStyle w:val="Tabletext0"/>
              <w:rPr>
                <w:szCs w:val="20"/>
              </w:rPr>
            </w:pPr>
            <w:r w:rsidRPr="002513B4">
              <w:rPr>
                <w:szCs w:val="20"/>
              </w:rPr>
              <w:t>Corrective Action Plan</w:t>
            </w:r>
          </w:p>
        </w:tc>
      </w:tr>
      <w:tr w:rsidR="00EE74F9" w:rsidRPr="002513B4" w14:paraId="11B3AC81" w14:textId="77777777" w:rsidTr="00150E99">
        <w:trPr>
          <w:cantSplit/>
        </w:trPr>
        <w:tc>
          <w:tcPr>
            <w:tcW w:w="1908" w:type="dxa"/>
          </w:tcPr>
          <w:p w14:paraId="352382A9" w14:textId="77777777" w:rsidR="00EE74F9" w:rsidRPr="002513B4" w:rsidRDefault="00EE74F9" w:rsidP="00150E99">
            <w:pPr>
              <w:pStyle w:val="Tabletext0"/>
              <w:jc w:val="right"/>
              <w:rPr>
                <w:szCs w:val="20"/>
              </w:rPr>
            </w:pPr>
            <w:r w:rsidRPr="002513B4">
              <w:rPr>
                <w:szCs w:val="20"/>
              </w:rPr>
              <w:t>CATI</w:t>
            </w:r>
          </w:p>
        </w:tc>
        <w:tc>
          <w:tcPr>
            <w:tcW w:w="7560" w:type="dxa"/>
          </w:tcPr>
          <w:p w14:paraId="2E586F54" w14:textId="77777777" w:rsidR="00EE74F9" w:rsidRPr="002513B4" w:rsidRDefault="00EE74F9" w:rsidP="00C553FE">
            <w:pPr>
              <w:pStyle w:val="Tabletext0"/>
              <w:rPr>
                <w:szCs w:val="20"/>
              </w:rPr>
            </w:pPr>
            <w:r w:rsidRPr="002513B4">
              <w:rPr>
                <w:szCs w:val="20"/>
              </w:rPr>
              <w:t>Computer-assisted telephone interview</w:t>
            </w:r>
          </w:p>
        </w:tc>
      </w:tr>
      <w:tr w:rsidR="00EE74F9" w:rsidRPr="002513B4" w14:paraId="79649688" w14:textId="77777777" w:rsidTr="00150E99">
        <w:trPr>
          <w:cantSplit/>
        </w:trPr>
        <w:tc>
          <w:tcPr>
            <w:tcW w:w="1908" w:type="dxa"/>
          </w:tcPr>
          <w:p w14:paraId="34ED932D" w14:textId="77777777" w:rsidR="00EE74F9" w:rsidRPr="002513B4" w:rsidRDefault="00EE74F9" w:rsidP="00150E99">
            <w:pPr>
              <w:pStyle w:val="Tabletext0"/>
              <w:jc w:val="right"/>
              <w:rPr>
                <w:szCs w:val="20"/>
              </w:rPr>
            </w:pPr>
            <w:r w:rsidRPr="002513B4">
              <w:rPr>
                <w:szCs w:val="20"/>
              </w:rPr>
              <w:t>CCN</w:t>
            </w:r>
          </w:p>
        </w:tc>
        <w:tc>
          <w:tcPr>
            <w:tcW w:w="7560" w:type="dxa"/>
          </w:tcPr>
          <w:p w14:paraId="1933F5AC" w14:textId="77777777" w:rsidR="00EE74F9" w:rsidRPr="002513B4" w:rsidRDefault="00EE74F9" w:rsidP="00C553FE">
            <w:pPr>
              <w:pStyle w:val="Tabletext0"/>
              <w:rPr>
                <w:szCs w:val="20"/>
              </w:rPr>
            </w:pPr>
            <w:r w:rsidRPr="002513B4">
              <w:rPr>
                <w:szCs w:val="20"/>
              </w:rPr>
              <w:t>CMS Certification Number (formerly known as the Medicare Provider Number)</w:t>
            </w:r>
          </w:p>
        </w:tc>
      </w:tr>
      <w:tr w:rsidR="00EE74F9" w:rsidRPr="002513B4" w14:paraId="53AEDCC3" w14:textId="77777777" w:rsidTr="00150E99">
        <w:trPr>
          <w:cantSplit/>
        </w:trPr>
        <w:tc>
          <w:tcPr>
            <w:tcW w:w="1908" w:type="dxa"/>
          </w:tcPr>
          <w:p w14:paraId="22EFD173" w14:textId="77777777" w:rsidR="00EE74F9" w:rsidRPr="002513B4" w:rsidRDefault="00EE74F9" w:rsidP="00150E99">
            <w:pPr>
              <w:pStyle w:val="Tabletext0"/>
              <w:jc w:val="right"/>
              <w:rPr>
                <w:szCs w:val="20"/>
              </w:rPr>
            </w:pPr>
            <w:r w:rsidRPr="002513B4">
              <w:rPr>
                <w:szCs w:val="20"/>
              </w:rPr>
              <w:t>CMS</w:t>
            </w:r>
          </w:p>
        </w:tc>
        <w:tc>
          <w:tcPr>
            <w:tcW w:w="7560" w:type="dxa"/>
          </w:tcPr>
          <w:p w14:paraId="6542EDEF" w14:textId="77777777" w:rsidR="00EE74F9" w:rsidRPr="002513B4" w:rsidRDefault="00EE74F9" w:rsidP="00C553FE">
            <w:pPr>
              <w:pStyle w:val="Tabletext0"/>
              <w:rPr>
                <w:szCs w:val="20"/>
              </w:rPr>
            </w:pPr>
            <w:r w:rsidRPr="002513B4">
              <w:rPr>
                <w:szCs w:val="20"/>
              </w:rPr>
              <w:t>Centers for Medicare &amp; Medicaid Services</w:t>
            </w:r>
          </w:p>
        </w:tc>
      </w:tr>
      <w:tr w:rsidR="00EE74F9" w:rsidRPr="002513B4" w14:paraId="0F6ED1DA" w14:textId="77777777" w:rsidTr="00150E99">
        <w:trPr>
          <w:cantSplit/>
        </w:trPr>
        <w:tc>
          <w:tcPr>
            <w:tcW w:w="1908" w:type="dxa"/>
          </w:tcPr>
          <w:p w14:paraId="7658171A" w14:textId="77777777" w:rsidR="00EE74F9" w:rsidRPr="002513B4" w:rsidRDefault="00EE74F9" w:rsidP="00150E99">
            <w:pPr>
              <w:pStyle w:val="Tabletext0"/>
              <w:jc w:val="right"/>
              <w:rPr>
                <w:szCs w:val="20"/>
              </w:rPr>
            </w:pPr>
            <w:r w:rsidRPr="002513B4">
              <w:rPr>
                <w:szCs w:val="20"/>
              </w:rPr>
              <w:t>DC</w:t>
            </w:r>
          </w:p>
        </w:tc>
        <w:tc>
          <w:tcPr>
            <w:tcW w:w="7560" w:type="dxa"/>
          </w:tcPr>
          <w:p w14:paraId="2C7B40B9" w14:textId="77777777" w:rsidR="00EE74F9" w:rsidRPr="002513B4" w:rsidRDefault="00EE74F9" w:rsidP="00C553FE">
            <w:pPr>
              <w:pStyle w:val="Tabletext0"/>
              <w:rPr>
                <w:szCs w:val="20"/>
              </w:rPr>
            </w:pPr>
            <w:r w:rsidRPr="002513B4">
              <w:rPr>
                <w:szCs w:val="20"/>
              </w:rPr>
              <w:t>Discharge Assessment (OASIS Assessment)</w:t>
            </w:r>
          </w:p>
        </w:tc>
      </w:tr>
      <w:tr w:rsidR="00EE74F9" w:rsidRPr="002513B4" w14:paraId="0657B798" w14:textId="77777777" w:rsidTr="00150E99">
        <w:trPr>
          <w:cantSplit/>
        </w:trPr>
        <w:tc>
          <w:tcPr>
            <w:tcW w:w="1908" w:type="dxa"/>
          </w:tcPr>
          <w:p w14:paraId="2975471A" w14:textId="77777777" w:rsidR="00EE74F9" w:rsidRPr="002513B4" w:rsidRDefault="00EE74F9" w:rsidP="00150E99">
            <w:pPr>
              <w:pStyle w:val="Tabletext0"/>
              <w:jc w:val="right"/>
              <w:rPr>
                <w:szCs w:val="20"/>
              </w:rPr>
            </w:pPr>
            <w:r w:rsidRPr="002513B4">
              <w:rPr>
                <w:szCs w:val="20"/>
              </w:rPr>
              <w:t>DHHS</w:t>
            </w:r>
          </w:p>
        </w:tc>
        <w:tc>
          <w:tcPr>
            <w:tcW w:w="7560" w:type="dxa"/>
          </w:tcPr>
          <w:p w14:paraId="13357F0C" w14:textId="77777777" w:rsidR="00EE74F9" w:rsidRPr="002513B4" w:rsidRDefault="00EE74F9" w:rsidP="00C553FE">
            <w:pPr>
              <w:pStyle w:val="Tabletext0"/>
              <w:rPr>
                <w:szCs w:val="20"/>
              </w:rPr>
            </w:pPr>
            <w:r w:rsidRPr="002513B4">
              <w:rPr>
                <w:szCs w:val="20"/>
              </w:rPr>
              <w:t>Department of Health and Human Services</w:t>
            </w:r>
          </w:p>
        </w:tc>
      </w:tr>
      <w:tr w:rsidR="00045E10" w:rsidRPr="002513B4" w14:paraId="3D0F6219" w14:textId="77777777" w:rsidTr="00150E99">
        <w:trPr>
          <w:cantSplit/>
        </w:trPr>
        <w:tc>
          <w:tcPr>
            <w:tcW w:w="1908" w:type="dxa"/>
          </w:tcPr>
          <w:p w14:paraId="6E2AF997" w14:textId="77777777" w:rsidR="00045E10" w:rsidRPr="002513B4" w:rsidRDefault="00045E10" w:rsidP="00150E99">
            <w:pPr>
              <w:pStyle w:val="Tabletext0"/>
              <w:jc w:val="right"/>
              <w:rPr>
                <w:szCs w:val="20"/>
              </w:rPr>
            </w:pPr>
            <w:r w:rsidRPr="002513B4">
              <w:rPr>
                <w:szCs w:val="20"/>
              </w:rPr>
              <w:t>DNR</w:t>
            </w:r>
          </w:p>
        </w:tc>
        <w:tc>
          <w:tcPr>
            <w:tcW w:w="7560" w:type="dxa"/>
          </w:tcPr>
          <w:p w14:paraId="01B5F89D" w14:textId="77777777" w:rsidR="00045E10" w:rsidRPr="002513B4" w:rsidRDefault="00045E10" w:rsidP="00C553FE">
            <w:pPr>
              <w:pStyle w:val="Tabletext0"/>
              <w:rPr>
                <w:szCs w:val="20"/>
              </w:rPr>
            </w:pPr>
            <w:r w:rsidRPr="002513B4">
              <w:rPr>
                <w:szCs w:val="20"/>
              </w:rPr>
              <w:t>Discrepancy Notification Report</w:t>
            </w:r>
          </w:p>
        </w:tc>
      </w:tr>
      <w:tr w:rsidR="00EE74F9" w:rsidRPr="002513B4" w14:paraId="575CD2A1" w14:textId="77777777" w:rsidTr="00150E99">
        <w:trPr>
          <w:cantSplit/>
        </w:trPr>
        <w:tc>
          <w:tcPr>
            <w:tcW w:w="1908" w:type="dxa"/>
          </w:tcPr>
          <w:p w14:paraId="1233225E" w14:textId="77777777" w:rsidR="00EE74F9" w:rsidRPr="002513B4" w:rsidRDefault="00EE74F9" w:rsidP="00150E99">
            <w:pPr>
              <w:pStyle w:val="Tabletext0"/>
              <w:jc w:val="right"/>
              <w:rPr>
                <w:szCs w:val="20"/>
              </w:rPr>
            </w:pPr>
            <w:r w:rsidRPr="002513B4">
              <w:rPr>
                <w:szCs w:val="20"/>
              </w:rPr>
              <w:t>DSRS</w:t>
            </w:r>
          </w:p>
        </w:tc>
        <w:tc>
          <w:tcPr>
            <w:tcW w:w="7560" w:type="dxa"/>
          </w:tcPr>
          <w:p w14:paraId="4EBA2CFD" w14:textId="77777777" w:rsidR="00EE74F9" w:rsidRPr="002513B4" w:rsidRDefault="00EE74F9" w:rsidP="00C553FE">
            <w:pPr>
              <w:pStyle w:val="Tabletext0"/>
              <w:rPr>
                <w:szCs w:val="20"/>
              </w:rPr>
            </w:pPr>
            <w:r w:rsidRPr="002513B4">
              <w:rPr>
                <w:szCs w:val="20"/>
              </w:rPr>
              <w:t>Disproportionate stratified random sampling</w:t>
            </w:r>
          </w:p>
        </w:tc>
      </w:tr>
      <w:tr w:rsidR="00F85A3C" w:rsidRPr="002513B4" w14:paraId="4B29ED72" w14:textId="77777777" w:rsidTr="00150E99">
        <w:trPr>
          <w:cantSplit/>
        </w:trPr>
        <w:tc>
          <w:tcPr>
            <w:tcW w:w="1908" w:type="dxa"/>
          </w:tcPr>
          <w:p w14:paraId="1F0959D6" w14:textId="77777777" w:rsidR="00F85A3C" w:rsidRPr="002513B4" w:rsidRDefault="00F85A3C" w:rsidP="00150E99">
            <w:pPr>
              <w:pStyle w:val="Tabletext0"/>
              <w:jc w:val="right"/>
              <w:rPr>
                <w:szCs w:val="20"/>
              </w:rPr>
            </w:pPr>
            <w:r w:rsidRPr="002513B4">
              <w:rPr>
                <w:szCs w:val="20"/>
              </w:rPr>
              <w:t>ERF</w:t>
            </w:r>
          </w:p>
        </w:tc>
        <w:tc>
          <w:tcPr>
            <w:tcW w:w="7560" w:type="dxa"/>
          </w:tcPr>
          <w:p w14:paraId="44C81712" w14:textId="77777777" w:rsidR="00F85A3C" w:rsidRPr="002513B4" w:rsidRDefault="00F85A3C" w:rsidP="00C553FE">
            <w:pPr>
              <w:pStyle w:val="Tabletext0"/>
              <w:rPr>
                <w:szCs w:val="20"/>
              </w:rPr>
            </w:pPr>
            <w:r w:rsidRPr="002513B4">
              <w:rPr>
                <w:szCs w:val="20"/>
              </w:rPr>
              <w:t>Exceptions Request Form</w:t>
            </w:r>
          </w:p>
        </w:tc>
      </w:tr>
      <w:tr w:rsidR="00EE74F9" w:rsidRPr="002513B4" w14:paraId="56DAE8EB" w14:textId="77777777" w:rsidTr="00150E99">
        <w:trPr>
          <w:cantSplit/>
        </w:trPr>
        <w:tc>
          <w:tcPr>
            <w:tcW w:w="1908" w:type="dxa"/>
          </w:tcPr>
          <w:p w14:paraId="22871B70" w14:textId="77777777" w:rsidR="00EE74F9" w:rsidRPr="002513B4" w:rsidRDefault="00EE74F9" w:rsidP="00150E99">
            <w:pPr>
              <w:pStyle w:val="Tabletext0"/>
              <w:jc w:val="right"/>
              <w:rPr>
                <w:szCs w:val="20"/>
              </w:rPr>
            </w:pPr>
            <w:r w:rsidRPr="002513B4">
              <w:rPr>
                <w:szCs w:val="20"/>
              </w:rPr>
              <w:t>ESRD</w:t>
            </w:r>
          </w:p>
        </w:tc>
        <w:tc>
          <w:tcPr>
            <w:tcW w:w="7560" w:type="dxa"/>
          </w:tcPr>
          <w:p w14:paraId="3434562E" w14:textId="77777777" w:rsidR="00EE74F9" w:rsidRPr="002513B4" w:rsidRDefault="00EE74F9" w:rsidP="00C553FE">
            <w:pPr>
              <w:pStyle w:val="Tabletext0"/>
              <w:rPr>
                <w:szCs w:val="20"/>
              </w:rPr>
            </w:pPr>
            <w:r w:rsidRPr="002513B4">
              <w:rPr>
                <w:szCs w:val="20"/>
              </w:rPr>
              <w:t>End-stage renal disease</w:t>
            </w:r>
          </w:p>
        </w:tc>
      </w:tr>
      <w:tr w:rsidR="00EE74F9" w:rsidRPr="002513B4" w14:paraId="01DF3D3C" w14:textId="77777777" w:rsidTr="00150E99">
        <w:trPr>
          <w:cantSplit/>
        </w:trPr>
        <w:tc>
          <w:tcPr>
            <w:tcW w:w="1908" w:type="dxa"/>
          </w:tcPr>
          <w:p w14:paraId="272660C8" w14:textId="77777777" w:rsidR="00EE74F9" w:rsidRPr="002513B4" w:rsidRDefault="00EE74F9" w:rsidP="00150E99">
            <w:pPr>
              <w:pStyle w:val="Tabletext0"/>
              <w:jc w:val="right"/>
              <w:rPr>
                <w:szCs w:val="20"/>
              </w:rPr>
            </w:pPr>
            <w:r w:rsidRPr="002513B4">
              <w:rPr>
                <w:szCs w:val="20"/>
              </w:rPr>
              <w:t>FAQ</w:t>
            </w:r>
          </w:p>
        </w:tc>
        <w:tc>
          <w:tcPr>
            <w:tcW w:w="7560" w:type="dxa"/>
          </w:tcPr>
          <w:p w14:paraId="065B913B" w14:textId="77777777" w:rsidR="00EE74F9" w:rsidRPr="002513B4" w:rsidRDefault="00EE74F9" w:rsidP="00C553FE">
            <w:pPr>
              <w:pStyle w:val="Tabletext0"/>
              <w:rPr>
                <w:szCs w:val="20"/>
              </w:rPr>
            </w:pPr>
            <w:r w:rsidRPr="002513B4">
              <w:rPr>
                <w:szCs w:val="20"/>
              </w:rPr>
              <w:t>Frequently Asked Questions (a list of frequently asked questions and suggested responses)</w:t>
            </w:r>
          </w:p>
        </w:tc>
      </w:tr>
      <w:tr w:rsidR="00EE74F9" w:rsidRPr="002513B4" w14:paraId="2E6CB0A0" w14:textId="77777777" w:rsidTr="00150E99">
        <w:trPr>
          <w:cantSplit/>
        </w:trPr>
        <w:tc>
          <w:tcPr>
            <w:tcW w:w="1908" w:type="dxa"/>
          </w:tcPr>
          <w:p w14:paraId="6C3CCE22" w14:textId="77777777" w:rsidR="00EE74F9" w:rsidRPr="002513B4" w:rsidRDefault="00EE74F9" w:rsidP="00150E99">
            <w:pPr>
              <w:pStyle w:val="Tabletext0"/>
              <w:jc w:val="right"/>
              <w:rPr>
                <w:szCs w:val="20"/>
              </w:rPr>
            </w:pPr>
            <w:r w:rsidRPr="002513B4">
              <w:rPr>
                <w:szCs w:val="20"/>
              </w:rPr>
              <w:t>FU</w:t>
            </w:r>
          </w:p>
        </w:tc>
        <w:tc>
          <w:tcPr>
            <w:tcW w:w="7560" w:type="dxa"/>
          </w:tcPr>
          <w:p w14:paraId="73BCD60D" w14:textId="77777777" w:rsidR="00EE74F9" w:rsidRPr="002513B4" w:rsidRDefault="00EE74F9" w:rsidP="00C553FE">
            <w:pPr>
              <w:pStyle w:val="Tabletext0"/>
              <w:rPr>
                <w:szCs w:val="20"/>
              </w:rPr>
            </w:pPr>
            <w:r w:rsidRPr="002513B4">
              <w:rPr>
                <w:szCs w:val="20"/>
              </w:rPr>
              <w:t>Follow-up Assessment (OASIS follow-up assessment)</w:t>
            </w:r>
          </w:p>
        </w:tc>
      </w:tr>
      <w:tr w:rsidR="00EE74F9" w:rsidRPr="002513B4" w14:paraId="78F2014E" w14:textId="77777777" w:rsidTr="00150E99">
        <w:trPr>
          <w:cantSplit/>
        </w:trPr>
        <w:tc>
          <w:tcPr>
            <w:tcW w:w="1908" w:type="dxa"/>
          </w:tcPr>
          <w:p w14:paraId="1AC0C65D" w14:textId="77777777" w:rsidR="00EE74F9" w:rsidRPr="002513B4" w:rsidRDefault="00EE74F9" w:rsidP="00150E99">
            <w:pPr>
              <w:pStyle w:val="Tabletext0"/>
              <w:jc w:val="right"/>
              <w:rPr>
                <w:szCs w:val="20"/>
              </w:rPr>
            </w:pPr>
            <w:r w:rsidRPr="002513B4">
              <w:rPr>
                <w:szCs w:val="20"/>
              </w:rPr>
              <w:t>HHA</w:t>
            </w:r>
          </w:p>
        </w:tc>
        <w:tc>
          <w:tcPr>
            <w:tcW w:w="7560" w:type="dxa"/>
          </w:tcPr>
          <w:p w14:paraId="7086A843" w14:textId="77777777" w:rsidR="00EE74F9" w:rsidRPr="002513B4" w:rsidRDefault="00EE74F9" w:rsidP="00C553FE">
            <w:pPr>
              <w:pStyle w:val="Tabletext0"/>
              <w:rPr>
                <w:szCs w:val="20"/>
              </w:rPr>
            </w:pPr>
            <w:r w:rsidRPr="002513B4">
              <w:rPr>
                <w:szCs w:val="20"/>
              </w:rPr>
              <w:t>Home health agency</w:t>
            </w:r>
          </w:p>
        </w:tc>
      </w:tr>
      <w:tr w:rsidR="00EE74F9" w:rsidRPr="002513B4" w14:paraId="15AE6B85" w14:textId="77777777" w:rsidTr="00150E99">
        <w:trPr>
          <w:cantSplit/>
        </w:trPr>
        <w:tc>
          <w:tcPr>
            <w:tcW w:w="1908" w:type="dxa"/>
          </w:tcPr>
          <w:p w14:paraId="77290DFC" w14:textId="77777777" w:rsidR="00EE74F9" w:rsidRPr="002513B4" w:rsidRDefault="00EE74F9" w:rsidP="00150E99">
            <w:pPr>
              <w:pStyle w:val="Tabletext0"/>
              <w:jc w:val="right"/>
              <w:rPr>
                <w:szCs w:val="20"/>
              </w:rPr>
            </w:pPr>
            <w:r w:rsidRPr="002513B4">
              <w:rPr>
                <w:szCs w:val="20"/>
              </w:rPr>
              <w:t>HHCAHPS</w:t>
            </w:r>
          </w:p>
        </w:tc>
        <w:tc>
          <w:tcPr>
            <w:tcW w:w="7560" w:type="dxa"/>
          </w:tcPr>
          <w:p w14:paraId="7D0A781A" w14:textId="77777777" w:rsidR="00EE74F9" w:rsidRPr="002513B4" w:rsidRDefault="00EE74F9" w:rsidP="00C553FE">
            <w:pPr>
              <w:pStyle w:val="Tabletext0"/>
              <w:rPr>
                <w:szCs w:val="20"/>
              </w:rPr>
            </w:pPr>
            <w:r w:rsidRPr="002513B4">
              <w:rPr>
                <w:szCs w:val="20"/>
              </w:rPr>
              <w:t>Home Health Care CAHPS Survey</w:t>
            </w:r>
          </w:p>
        </w:tc>
      </w:tr>
      <w:tr w:rsidR="00EE74F9" w:rsidRPr="002513B4" w14:paraId="3CB3F8AA" w14:textId="77777777" w:rsidTr="00150E99">
        <w:trPr>
          <w:cantSplit/>
        </w:trPr>
        <w:tc>
          <w:tcPr>
            <w:tcW w:w="1908" w:type="dxa"/>
          </w:tcPr>
          <w:p w14:paraId="5F5F7A59" w14:textId="77777777" w:rsidR="00EE74F9" w:rsidRPr="002513B4" w:rsidRDefault="00EE74F9" w:rsidP="00150E99">
            <w:pPr>
              <w:pStyle w:val="Tabletext0"/>
              <w:jc w:val="right"/>
              <w:rPr>
                <w:szCs w:val="20"/>
              </w:rPr>
            </w:pPr>
            <w:r w:rsidRPr="002513B4">
              <w:rPr>
                <w:szCs w:val="20"/>
              </w:rPr>
              <w:lastRenderedPageBreak/>
              <w:t>HH PPS</w:t>
            </w:r>
          </w:p>
        </w:tc>
        <w:tc>
          <w:tcPr>
            <w:tcW w:w="7560" w:type="dxa"/>
          </w:tcPr>
          <w:p w14:paraId="6CE5888A" w14:textId="77777777" w:rsidR="00EE74F9" w:rsidRPr="002513B4" w:rsidRDefault="00EE74F9" w:rsidP="00C553FE">
            <w:pPr>
              <w:pStyle w:val="Tabletext0"/>
              <w:rPr>
                <w:szCs w:val="20"/>
              </w:rPr>
            </w:pPr>
            <w:r w:rsidRPr="002513B4">
              <w:rPr>
                <w:szCs w:val="20"/>
              </w:rPr>
              <w:t>Home Health Prospective Payment System</w:t>
            </w:r>
          </w:p>
        </w:tc>
      </w:tr>
      <w:tr w:rsidR="00EE74F9" w:rsidRPr="002513B4" w14:paraId="7C4134DF" w14:textId="77777777" w:rsidTr="00150E99">
        <w:trPr>
          <w:cantSplit/>
        </w:trPr>
        <w:tc>
          <w:tcPr>
            <w:tcW w:w="1908" w:type="dxa"/>
          </w:tcPr>
          <w:p w14:paraId="5F576633" w14:textId="77777777" w:rsidR="00EE74F9" w:rsidRPr="002513B4" w:rsidRDefault="00EE74F9" w:rsidP="00150E99">
            <w:pPr>
              <w:pStyle w:val="Tabletext0"/>
              <w:jc w:val="right"/>
              <w:rPr>
                <w:szCs w:val="20"/>
              </w:rPr>
            </w:pPr>
            <w:r w:rsidRPr="002513B4">
              <w:rPr>
                <w:szCs w:val="20"/>
              </w:rPr>
              <w:t>HMO</w:t>
            </w:r>
          </w:p>
        </w:tc>
        <w:tc>
          <w:tcPr>
            <w:tcW w:w="7560" w:type="dxa"/>
          </w:tcPr>
          <w:p w14:paraId="36F8A791" w14:textId="77777777" w:rsidR="00EE74F9" w:rsidRPr="002513B4" w:rsidRDefault="00EE74F9" w:rsidP="00C553FE">
            <w:pPr>
              <w:pStyle w:val="Tabletext0"/>
              <w:rPr>
                <w:szCs w:val="20"/>
              </w:rPr>
            </w:pPr>
            <w:r w:rsidRPr="002513B4">
              <w:rPr>
                <w:szCs w:val="20"/>
              </w:rPr>
              <w:t>Health Maintenance Organization</w:t>
            </w:r>
          </w:p>
        </w:tc>
      </w:tr>
      <w:tr w:rsidR="00EE74F9" w:rsidRPr="002513B4" w14:paraId="728A1C75" w14:textId="77777777" w:rsidTr="00150E99">
        <w:trPr>
          <w:cantSplit/>
        </w:trPr>
        <w:tc>
          <w:tcPr>
            <w:tcW w:w="1908" w:type="dxa"/>
          </w:tcPr>
          <w:p w14:paraId="6C964EFD" w14:textId="77777777" w:rsidR="00EE74F9" w:rsidRPr="002513B4" w:rsidRDefault="00EE74F9" w:rsidP="00150E99">
            <w:pPr>
              <w:pStyle w:val="Tabletext0"/>
              <w:jc w:val="right"/>
              <w:rPr>
                <w:szCs w:val="20"/>
              </w:rPr>
            </w:pPr>
            <w:r w:rsidRPr="002513B4">
              <w:rPr>
                <w:szCs w:val="20"/>
              </w:rPr>
              <w:t>HIPAA</w:t>
            </w:r>
          </w:p>
        </w:tc>
        <w:tc>
          <w:tcPr>
            <w:tcW w:w="7560" w:type="dxa"/>
          </w:tcPr>
          <w:p w14:paraId="5D61230A" w14:textId="77777777" w:rsidR="00EE74F9" w:rsidRPr="002513B4" w:rsidRDefault="00EE74F9" w:rsidP="00C553FE">
            <w:pPr>
              <w:pStyle w:val="Tabletext0"/>
              <w:rPr>
                <w:szCs w:val="20"/>
              </w:rPr>
            </w:pPr>
            <w:r w:rsidRPr="002513B4">
              <w:rPr>
                <w:szCs w:val="20"/>
              </w:rPr>
              <w:t>Health Insurance Portability and Accountability Act</w:t>
            </w:r>
          </w:p>
        </w:tc>
      </w:tr>
      <w:tr w:rsidR="00EE74F9" w:rsidRPr="002513B4" w14:paraId="3F30F626" w14:textId="77777777" w:rsidTr="00150E99">
        <w:trPr>
          <w:cantSplit/>
        </w:trPr>
        <w:tc>
          <w:tcPr>
            <w:tcW w:w="1908" w:type="dxa"/>
          </w:tcPr>
          <w:p w14:paraId="3772AEF0" w14:textId="77777777" w:rsidR="00EE74F9" w:rsidRPr="002513B4" w:rsidRDefault="00EE74F9" w:rsidP="00150E99">
            <w:pPr>
              <w:pStyle w:val="Tabletext0"/>
              <w:jc w:val="right"/>
              <w:rPr>
                <w:szCs w:val="20"/>
              </w:rPr>
            </w:pPr>
            <w:r w:rsidRPr="002513B4">
              <w:rPr>
                <w:szCs w:val="20"/>
              </w:rPr>
              <w:t>ICD-10</w:t>
            </w:r>
          </w:p>
        </w:tc>
        <w:tc>
          <w:tcPr>
            <w:tcW w:w="7560" w:type="dxa"/>
          </w:tcPr>
          <w:p w14:paraId="45ADFF89" w14:textId="77777777" w:rsidR="00EE74F9" w:rsidRPr="002513B4" w:rsidRDefault="00EE74F9" w:rsidP="00C553FE">
            <w:pPr>
              <w:pStyle w:val="Tabletext0"/>
              <w:rPr>
                <w:szCs w:val="20"/>
              </w:rPr>
            </w:pPr>
            <w:r w:rsidRPr="002513B4">
              <w:rPr>
                <w:szCs w:val="20"/>
              </w:rPr>
              <w:t>International Classification of Diseases, 10th Revision</w:t>
            </w:r>
          </w:p>
        </w:tc>
      </w:tr>
      <w:tr w:rsidR="00EE74F9" w:rsidRPr="002513B4" w14:paraId="7DC7BB82" w14:textId="77777777" w:rsidTr="00150E99">
        <w:trPr>
          <w:cantSplit/>
        </w:trPr>
        <w:tc>
          <w:tcPr>
            <w:tcW w:w="1908" w:type="dxa"/>
          </w:tcPr>
          <w:p w14:paraId="545FDF4D" w14:textId="77777777" w:rsidR="00EE74F9" w:rsidRPr="002513B4" w:rsidRDefault="00EE74F9" w:rsidP="00150E99">
            <w:pPr>
              <w:pStyle w:val="Tabletext0"/>
              <w:jc w:val="right"/>
              <w:rPr>
                <w:szCs w:val="20"/>
              </w:rPr>
            </w:pPr>
            <w:r w:rsidRPr="002513B4">
              <w:rPr>
                <w:szCs w:val="20"/>
              </w:rPr>
              <w:t>IRB</w:t>
            </w:r>
          </w:p>
        </w:tc>
        <w:tc>
          <w:tcPr>
            <w:tcW w:w="7560" w:type="dxa"/>
          </w:tcPr>
          <w:p w14:paraId="7D068275" w14:textId="77777777" w:rsidR="00EE74F9" w:rsidRPr="002513B4" w:rsidRDefault="00EE74F9" w:rsidP="00C553FE">
            <w:pPr>
              <w:pStyle w:val="Tabletext0"/>
              <w:rPr>
                <w:szCs w:val="20"/>
              </w:rPr>
            </w:pPr>
            <w:r w:rsidRPr="002513B4">
              <w:rPr>
                <w:szCs w:val="20"/>
              </w:rPr>
              <w:t>Institutional Review Board</w:t>
            </w:r>
          </w:p>
        </w:tc>
      </w:tr>
      <w:tr w:rsidR="00EE74F9" w:rsidRPr="002513B4" w14:paraId="040BA783" w14:textId="77777777" w:rsidTr="00150E99">
        <w:trPr>
          <w:cantSplit/>
        </w:trPr>
        <w:tc>
          <w:tcPr>
            <w:tcW w:w="1908" w:type="dxa"/>
          </w:tcPr>
          <w:p w14:paraId="727177EA" w14:textId="77777777" w:rsidR="00EE74F9" w:rsidRPr="002513B4" w:rsidRDefault="00EE74F9" w:rsidP="00150E99">
            <w:pPr>
              <w:pStyle w:val="Tabletext0"/>
              <w:jc w:val="right"/>
              <w:rPr>
                <w:szCs w:val="20"/>
              </w:rPr>
            </w:pPr>
            <w:r w:rsidRPr="002513B4">
              <w:rPr>
                <w:szCs w:val="20"/>
              </w:rPr>
              <w:t>MA</w:t>
            </w:r>
          </w:p>
        </w:tc>
        <w:tc>
          <w:tcPr>
            <w:tcW w:w="7560" w:type="dxa"/>
          </w:tcPr>
          <w:p w14:paraId="0612386F" w14:textId="77777777" w:rsidR="00EE74F9" w:rsidRPr="002513B4" w:rsidRDefault="00EE74F9" w:rsidP="00C553FE">
            <w:pPr>
              <w:pStyle w:val="Tabletext0"/>
              <w:rPr>
                <w:szCs w:val="20"/>
              </w:rPr>
            </w:pPr>
            <w:r w:rsidRPr="002513B4">
              <w:rPr>
                <w:szCs w:val="20"/>
              </w:rPr>
              <w:t>Medicare Advantage</w:t>
            </w:r>
          </w:p>
        </w:tc>
      </w:tr>
      <w:tr w:rsidR="00EE74F9" w:rsidRPr="002513B4" w14:paraId="511C7792" w14:textId="77777777" w:rsidTr="00150E99">
        <w:trPr>
          <w:cantSplit/>
        </w:trPr>
        <w:tc>
          <w:tcPr>
            <w:tcW w:w="1908" w:type="dxa"/>
          </w:tcPr>
          <w:p w14:paraId="4E25EE02" w14:textId="77777777" w:rsidR="00EE74F9" w:rsidRPr="002513B4" w:rsidRDefault="00EE74F9" w:rsidP="00150E99">
            <w:pPr>
              <w:pStyle w:val="Tabletext0"/>
              <w:jc w:val="right"/>
              <w:rPr>
                <w:szCs w:val="20"/>
              </w:rPr>
            </w:pPr>
            <w:r w:rsidRPr="002513B4">
              <w:rPr>
                <w:szCs w:val="20"/>
              </w:rPr>
              <w:t>MRN</w:t>
            </w:r>
          </w:p>
        </w:tc>
        <w:tc>
          <w:tcPr>
            <w:tcW w:w="7560" w:type="dxa"/>
          </w:tcPr>
          <w:p w14:paraId="20289D04" w14:textId="77777777" w:rsidR="00EE74F9" w:rsidRPr="002513B4" w:rsidRDefault="00EE74F9" w:rsidP="00C553FE">
            <w:pPr>
              <w:pStyle w:val="Tabletext0"/>
              <w:rPr>
                <w:szCs w:val="20"/>
              </w:rPr>
            </w:pPr>
            <w:r w:rsidRPr="002513B4">
              <w:rPr>
                <w:szCs w:val="20"/>
              </w:rPr>
              <w:t>Medical Record Number or Medicare Remittance Notice</w:t>
            </w:r>
          </w:p>
        </w:tc>
      </w:tr>
      <w:tr w:rsidR="00EE74F9" w:rsidRPr="002513B4" w14:paraId="52DF844A" w14:textId="77777777" w:rsidTr="00150E99">
        <w:trPr>
          <w:cantSplit/>
        </w:trPr>
        <w:tc>
          <w:tcPr>
            <w:tcW w:w="1908" w:type="dxa"/>
          </w:tcPr>
          <w:p w14:paraId="4C240311" w14:textId="77777777" w:rsidR="00EE74F9" w:rsidRPr="002513B4" w:rsidRDefault="00EE74F9" w:rsidP="00150E99">
            <w:pPr>
              <w:pStyle w:val="Tabletext0"/>
              <w:jc w:val="right"/>
              <w:rPr>
                <w:szCs w:val="20"/>
              </w:rPr>
            </w:pPr>
            <w:r w:rsidRPr="002513B4">
              <w:rPr>
                <w:szCs w:val="20"/>
              </w:rPr>
              <w:t>NCOA</w:t>
            </w:r>
          </w:p>
        </w:tc>
        <w:tc>
          <w:tcPr>
            <w:tcW w:w="7560" w:type="dxa"/>
          </w:tcPr>
          <w:p w14:paraId="1C9673A7" w14:textId="77777777" w:rsidR="00EE74F9" w:rsidRPr="002513B4" w:rsidRDefault="00EE74F9" w:rsidP="00C553FE">
            <w:pPr>
              <w:pStyle w:val="Tabletext0"/>
              <w:rPr>
                <w:szCs w:val="20"/>
              </w:rPr>
            </w:pPr>
            <w:r w:rsidRPr="002513B4">
              <w:rPr>
                <w:szCs w:val="20"/>
              </w:rPr>
              <w:t>National Change of Address</w:t>
            </w:r>
          </w:p>
        </w:tc>
      </w:tr>
      <w:tr w:rsidR="00EE74F9" w:rsidRPr="002513B4" w14:paraId="4973D1D7" w14:textId="77777777" w:rsidTr="00150E99">
        <w:trPr>
          <w:cantSplit/>
        </w:trPr>
        <w:tc>
          <w:tcPr>
            <w:tcW w:w="1908" w:type="dxa"/>
          </w:tcPr>
          <w:p w14:paraId="63E2F4AE" w14:textId="77777777" w:rsidR="00EE74F9" w:rsidRPr="002513B4" w:rsidRDefault="00EE74F9" w:rsidP="00150E99">
            <w:pPr>
              <w:pStyle w:val="Tabletext0"/>
              <w:jc w:val="right"/>
              <w:rPr>
                <w:szCs w:val="20"/>
              </w:rPr>
            </w:pPr>
            <w:r w:rsidRPr="002513B4">
              <w:rPr>
                <w:szCs w:val="20"/>
              </w:rPr>
              <w:t>NPI</w:t>
            </w:r>
          </w:p>
        </w:tc>
        <w:tc>
          <w:tcPr>
            <w:tcW w:w="7560" w:type="dxa"/>
          </w:tcPr>
          <w:p w14:paraId="14D1A356" w14:textId="77777777" w:rsidR="00EE74F9" w:rsidRPr="002513B4" w:rsidRDefault="00EE74F9" w:rsidP="00C553FE">
            <w:pPr>
              <w:pStyle w:val="Tabletext0"/>
              <w:rPr>
                <w:szCs w:val="20"/>
              </w:rPr>
            </w:pPr>
            <w:r w:rsidRPr="002513B4">
              <w:rPr>
                <w:szCs w:val="20"/>
              </w:rPr>
              <w:t>National Provider ID Number</w:t>
            </w:r>
          </w:p>
        </w:tc>
      </w:tr>
      <w:tr w:rsidR="00EE74F9" w:rsidRPr="002513B4" w14:paraId="22353B59" w14:textId="77777777" w:rsidTr="00150E99">
        <w:trPr>
          <w:cantSplit/>
        </w:trPr>
        <w:tc>
          <w:tcPr>
            <w:tcW w:w="1908" w:type="dxa"/>
          </w:tcPr>
          <w:p w14:paraId="7B45F666" w14:textId="77777777" w:rsidR="00EE74F9" w:rsidRPr="002513B4" w:rsidRDefault="00EE74F9" w:rsidP="00150E99">
            <w:pPr>
              <w:pStyle w:val="Tabletext0"/>
              <w:jc w:val="right"/>
              <w:rPr>
                <w:szCs w:val="20"/>
              </w:rPr>
            </w:pPr>
            <w:r w:rsidRPr="002513B4">
              <w:rPr>
                <w:szCs w:val="20"/>
              </w:rPr>
              <w:t>NQF</w:t>
            </w:r>
          </w:p>
        </w:tc>
        <w:tc>
          <w:tcPr>
            <w:tcW w:w="7560" w:type="dxa"/>
          </w:tcPr>
          <w:p w14:paraId="460AAA54" w14:textId="77777777" w:rsidR="00EE74F9" w:rsidRPr="002513B4" w:rsidRDefault="00EE74F9" w:rsidP="00C553FE">
            <w:pPr>
              <w:pStyle w:val="Tabletext0"/>
              <w:rPr>
                <w:szCs w:val="20"/>
              </w:rPr>
            </w:pPr>
            <w:r w:rsidRPr="002513B4">
              <w:rPr>
                <w:szCs w:val="20"/>
              </w:rPr>
              <w:t>National Quality Forum</w:t>
            </w:r>
          </w:p>
        </w:tc>
      </w:tr>
      <w:tr w:rsidR="00EE74F9" w:rsidRPr="002513B4" w14:paraId="6154E7C8" w14:textId="77777777" w:rsidTr="00150E99">
        <w:trPr>
          <w:cantSplit/>
        </w:trPr>
        <w:tc>
          <w:tcPr>
            <w:tcW w:w="1908" w:type="dxa"/>
          </w:tcPr>
          <w:p w14:paraId="6F328F35" w14:textId="77777777" w:rsidR="00EE74F9" w:rsidRPr="002513B4" w:rsidRDefault="00EE74F9" w:rsidP="00150E99">
            <w:pPr>
              <w:pStyle w:val="Tabletext0"/>
              <w:jc w:val="right"/>
              <w:rPr>
                <w:szCs w:val="20"/>
              </w:rPr>
            </w:pPr>
            <w:r w:rsidRPr="002513B4">
              <w:rPr>
                <w:szCs w:val="20"/>
              </w:rPr>
              <w:t>OASIS</w:t>
            </w:r>
          </w:p>
        </w:tc>
        <w:tc>
          <w:tcPr>
            <w:tcW w:w="7560" w:type="dxa"/>
          </w:tcPr>
          <w:p w14:paraId="01ACE835" w14:textId="77777777" w:rsidR="00EE74F9" w:rsidRPr="002513B4" w:rsidRDefault="00EE74F9" w:rsidP="00C553FE">
            <w:pPr>
              <w:pStyle w:val="Tabletext0"/>
              <w:rPr>
                <w:szCs w:val="20"/>
              </w:rPr>
            </w:pPr>
            <w:r w:rsidRPr="002513B4">
              <w:rPr>
                <w:szCs w:val="20"/>
              </w:rPr>
              <w:t>Outcome and Assessment Information Set</w:t>
            </w:r>
          </w:p>
        </w:tc>
      </w:tr>
      <w:tr w:rsidR="00EE74F9" w:rsidRPr="002513B4" w14:paraId="21AEBE2B" w14:textId="77777777" w:rsidTr="00150E99">
        <w:trPr>
          <w:cantSplit/>
        </w:trPr>
        <w:tc>
          <w:tcPr>
            <w:tcW w:w="1908" w:type="dxa"/>
          </w:tcPr>
          <w:p w14:paraId="114CDC25" w14:textId="77777777" w:rsidR="00EE74F9" w:rsidRPr="002513B4" w:rsidRDefault="00EE74F9" w:rsidP="00150E99">
            <w:pPr>
              <w:pStyle w:val="Tabletext0"/>
              <w:jc w:val="right"/>
              <w:rPr>
                <w:szCs w:val="20"/>
              </w:rPr>
            </w:pPr>
            <w:r w:rsidRPr="002513B4">
              <w:rPr>
                <w:szCs w:val="20"/>
              </w:rPr>
              <w:t>OMB</w:t>
            </w:r>
          </w:p>
        </w:tc>
        <w:tc>
          <w:tcPr>
            <w:tcW w:w="7560" w:type="dxa"/>
          </w:tcPr>
          <w:p w14:paraId="4CA644EB" w14:textId="77777777" w:rsidR="00EE74F9" w:rsidRPr="002513B4" w:rsidRDefault="00EE74F9" w:rsidP="00C553FE">
            <w:pPr>
              <w:pStyle w:val="Tabletext0"/>
              <w:rPr>
                <w:szCs w:val="20"/>
              </w:rPr>
            </w:pPr>
            <w:r w:rsidRPr="002513B4">
              <w:rPr>
                <w:szCs w:val="20"/>
              </w:rPr>
              <w:t>Office of Management and Budget</w:t>
            </w:r>
          </w:p>
        </w:tc>
      </w:tr>
      <w:tr w:rsidR="00EE74F9" w:rsidRPr="002513B4" w14:paraId="6625D298" w14:textId="77777777" w:rsidTr="00150E99">
        <w:trPr>
          <w:cantSplit/>
        </w:trPr>
        <w:tc>
          <w:tcPr>
            <w:tcW w:w="1908" w:type="dxa"/>
          </w:tcPr>
          <w:p w14:paraId="47C24672" w14:textId="77777777" w:rsidR="00EE74F9" w:rsidRPr="002513B4" w:rsidRDefault="00EE74F9" w:rsidP="00150E99">
            <w:pPr>
              <w:pStyle w:val="Tabletext0"/>
              <w:jc w:val="right"/>
              <w:rPr>
                <w:szCs w:val="20"/>
              </w:rPr>
            </w:pPr>
            <w:r w:rsidRPr="002513B4">
              <w:rPr>
                <w:szCs w:val="20"/>
              </w:rPr>
              <w:t>PDC</w:t>
            </w:r>
          </w:p>
        </w:tc>
        <w:tc>
          <w:tcPr>
            <w:tcW w:w="7560" w:type="dxa"/>
          </w:tcPr>
          <w:p w14:paraId="0315608E" w14:textId="77777777" w:rsidR="00EE74F9" w:rsidRPr="002513B4" w:rsidRDefault="00EE74F9" w:rsidP="00C553FE">
            <w:pPr>
              <w:pStyle w:val="Tabletext0"/>
              <w:rPr>
                <w:szCs w:val="20"/>
              </w:rPr>
            </w:pPr>
            <w:r w:rsidRPr="002513B4">
              <w:rPr>
                <w:szCs w:val="20"/>
              </w:rPr>
              <w:t>Provider Data Catalog</w:t>
            </w:r>
          </w:p>
        </w:tc>
      </w:tr>
      <w:tr w:rsidR="00EE74F9" w:rsidRPr="002513B4" w14:paraId="4502144C" w14:textId="77777777" w:rsidTr="00150E99">
        <w:trPr>
          <w:cantSplit/>
        </w:trPr>
        <w:tc>
          <w:tcPr>
            <w:tcW w:w="1908" w:type="dxa"/>
          </w:tcPr>
          <w:p w14:paraId="540CF519" w14:textId="77777777" w:rsidR="00EE74F9" w:rsidRPr="002513B4" w:rsidRDefault="00EE74F9" w:rsidP="00150E99">
            <w:pPr>
              <w:pStyle w:val="Tabletext0"/>
              <w:jc w:val="right"/>
              <w:rPr>
                <w:szCs w:val="20"/>
              </w:rPr>
            </w:pPr>
            <w:r w:rsidRPr="002513B4">
              <w:rPr>
                <w:szCs w:val="20"/>
              </w:rPr>
              <w:t>PER</w:t>
            </w:r>
          </w:p>
        </w:tc>
        <w:tc>
          <w:tcPr>
            <w:tcW w:w="7560" w:type="dxa"/>
          </w:tcPr>
          <w:p w14:paraId="1023B5CC" w14:textId="77777777" w:rsidR="00EE74F9" w:rsidRPr="002513B4" w:rsidRDefault="00EE74F9" w:rsidP="00C553FE">
            <w:pPr>
              <w:pStyle w:val="Tabletext0"/>
              <w:rPr>
                <w:szCs w:val="20"/>
              </w:rPr>
            </w:pPr>
            <w:r w:rsidRPr="002513B4">
              <w:rPr>
                <w:szCs w:val="20"/>
              </w:rPr>
              <w:t>Participation Exemption Request</w:t>
            </w:r>
          </w:p>
        </w:tc>
      </w:tr>
      <w:tr w:rsidR="00EE74F9" w:rsidRPr="002513B4" w14:paraId="158BE1A4" w14:textId="77777777" w:rsidTr="00150E99">
        <w:trPr>
          <w:cantSplit/>
        </w:trPr>
        <w:tc>
          <w:tcPr>
            <w:tcW w:w="1908" w:type="dxa"/>
          </w:tcPr>
          <w:p w14:paraId="7BD1827E" w14:textId="77777777" w:rsidR="00EE74F9" w:rsidRPr="002513B4" w:rsidRDefault="00EE74F9" w:rsidP="00150E99">
            <w:pPr>
              <w:pStyle w:val="Tabletext0"/>
              <w:jc w:val="right"/>
              <w:rPr>
                <w:szCs w:val="20"/>
              </w:rPr>
            </w:pPr>
            <w:r w:rsidRPr="002513B4">
              <w:rPr>
                <w:szCs w:val="20"/>
              </w:rPr>
              <w:t>PHI</w:t>
            </w:r>
          </w:p>
        </w:tc>
        <w:tc>
          <w:tcPr>
            <w:tcW w:w="7560" w:type="dxa"/>
          </w:tcPr>
          <w:p w14:paraId="2F8828A4" w14:textId="77777777" w:rsidR="00EE74F9" w:rsidRPr="002513B4" w:rsidRDefault="00EE74F9" w:rsidP="00C553FE">
            <w:pPr>
              <w:pStyle w:val="Tabletext0"/>
              <w:rPr>
                <w:szCs w:val="20"/>
              </w:rPr>
            </w:pPr>
            <w:r w:rsidRPr="002513B4">
              <w:rPr>
                <w:szCs w:val="20"/>
              </w:rPr>
              <w:t>Protected health information</w:t>
            </w:r>
          </w:p>
        </w:tc>
      </w:tr>
      <w:tr w:rsidR="00EE74F9" w:rsidRPr="002513B4" w14:paraId="7E22E928" w14:textId="77777777" w:rsidTr="00150E99">
        <w:trPr>
          <w:cantSplit/>
        </w:trPr>
        <w:tc>
          <w:tcPr>
            <w:tcW w:w="1908" w:type="dxa"/>
          </w:tcPr>
          <w:p w14:paraId="325BFDB0" w14:textId="77777777" w:rsidR="00EE74F9" w:rsidRPr="002513B4" w:rsidRDefault="00EE74F9" w:rsidP="00150E99">
            <w:pPr>
              <w:pStyle w:val="Tabletext0"/>
              <w:jc w:val="right"/>
              <w:rPr>
                <w:szCs w:val="20"/>
              </w:rPr>
            </w:pPr>
            <w:r w:rsidRPr="002513B4">
              <w:rPr>
                <w:szCs w:val="20"/>
              </w:rPr>
              <w:t>PII</w:t>
            </w:r>
          </w:p>
        </w:tc>
        <w:tc>
          <w:tcPr>
            <w:tcW w:w="7560" w:type="dxa"/>
          </w:tcPr>
          <w:p w14:paraId="0E2009C1" w14:textId="77777777" w:rsidR="00EE74F9" w:rsidRPr="002513B4" w:rsidRDefault="00EE74F9" w:rsidP="00C553FE">
            <w:pPr>
              <w:pStyle w:val="Tabletext0"/>
              <w:rPr>
                <w:szCs w:val="20"/>
              </w:rPr>
            </w:pPr>
            <w:r w:rsidRPr="002513B4">
              <w:rPr>
                <w:szCs w:val="20"/>
              </w:rPr>
              <w:t>Personally identifiable information</w:t>
            </w:r>
          </w:p>
        </w:tc>
      </w:tr>
      <w:tr w:rsidR="00EE74F9" w:rsidRPr="002513B4" w14:paraId="5518A6CA" w14:textId="77777777" w:rsidTr="00150E99">
        <w:trPr>
          <w:cantSplit/>
        </w:trPr>
        <w:tc>
          <w:tcPr>
            <w:tcW w:w="1908" w:type="dxa"/>
          </w:tcPr>
          <w:p w14:paraId="1C579EA4" w14:textId="77777777" w:rsidR="00EE74F9" w:rsidRPr="002513B4" w:rsidRDefault="00EE74F9" w:rsidP="00150E99">
            <w:pPr>
              <w:pStyle w:val="Tabletext0"/>
              <w:jc w:val="right"/>
              <w:rPr>
                <w:szCs w:val="20"/>
              </w:rPr>
            </w:pPr>
            <w:r w:rsidRPr="002513B4">
              <w:rPr>
                <w:szCs w:val="20"/>
              </w:rPr>
              <w:t>PSRS</w:t>
            </w:r>
          </w:p>
        </w:tc>
        <w:tc>
          <w:tcPr>
            <w:tcW w:w="7560" w:type="dxa"/>
          </w:tcPr>
          <w:p w14:paraId="686DBDD6" w14:textId="77777777" w:rsidR="00EE74F9" w:rsidRPr="002513B4" w:rsidRDefault="00EE74F9" w:rsidP="00C553FE">
            <w:pPr>
              <w:pStyle w:val="Tabletext0"/>
              <w:rPr>
                <w:szCs w:val="20"/>
              </w:rPr>
            </w:pPr>
            <w:r w:rsidRPr="002513B4">
              <w:rPr>
                <w:szCs w:val="20"/>
              </w:rPr>
              <w:t>Proportionate stratified random sampling</w:t>
            </w:r>
          </w:p>
        </w:tc>
      </w:tr>
      <w:tr w:rsidR="00EE74F9" w:rsidRPr="002513B4" w14:paraId="47FBABC8" w14:textId="77777777" w:rsidTr="00150E99">
        <w:trPr>
          <w:cantSplit/>
        </w:trPr>
        <w:tc>
          <w:tcPr>
            <w:tcW w:w="1908" w:type="dxa"/>
          </w:tcPr>
          <w:p w14:paraId="2DC36A60" w14:textId="77777777" w:rsidR="00EE74F9" w:rsidRPr="002513B4" w:rsidRDefault="00EE74F9" w:rsidP="00150E99">
            <w:pPr>
              <w:pStyle w:val="Tabletext0"/>
              <w:jc w:val="right"/>
              <w:rPr>
                <w:szCs w:val="20"/>
              </w:rPr>
            </w:pPr>
            <w:r w:rsidRPr="002513B4">
              <w:rPr>
                <w:szCs w:val="20"/>
              </w:rPr>
              <w:t>QAP</w:t>
            </w:r>
          </w:p>
        </w:tc>
        <w:tc>
          <w:tcPr>
            <w:tcW w:w="7560" w:type="dxa"/>
          </w:tcPr>
          <w:p w14:paraId="3CD4BA4B" w14:textId="77777777" w:rsidR="00EE74F9" w:rsidRPr="002513B4" w:rsidRDefault="00EE74F9" w:rsidP="00C553FE">
            <w:pPr>
              <w:pStyle w:val="Tabletext0"/>
              <w:rPr>
                <w:szCs w:val="20"/>
              </w:rPr>
            </w:pPr>
            <w:r w:rsidRPr="002513B4">
              <w:rPr>
                <w:szCs w:val="20"/>
              </w:rPr>
              <w:t>Quality Assurance Plan</w:t>
            </w:r>
          </w:p>
        </w:tc>
      </w:tr>
      <w:tr w:rsidR="00EE74F9" w:rsidRPr="002513B4" w14:paraId="360E0055" w14:textId="77777777" w:rsidTr="00150E99">
        <w:trPr>
          <w:cantSplit/>
        </w:trPr>
        <w:tc>
          <w:tcPr>
            <w:tcW w:w="1908" w:type="dxa"/>
          </w:tcPr>
          <w:p w14:paraId="1CF9FE03" w14:textId="77777777" w:rsidR="00EE74F9" w:rsidRPr="002513B4" w:rsidRDefault="00EE74F9" w:rsidP="00150E99">
            <w:pPr>
              <w:pStyle w:val="Tabletext0"/>
              <w:jc w:val="right"/>
              <w:rPr>
                <w:szCs w:val="20"/>
              </w:rPr>
            </w:pPr>
            <w:r w:rsidRPr="002513B4">
              <w:rPr>
                <w:szCs w:val="20"/>
              </w:rPr>
              <w:t>RAT-STATS</w:t>
            </w:r>
          </w:p>
        </w:tc>
        <w:tc>
          <w:tcPr>
            <w:tcW w:w="7560" w:type="dxa"/>
          </w:tcPr>
          <w:p w14:paraId="3D927136" w14:textId="77777777" w:rsidR="00EE74F9" w:rsidRPr="002513B4" w:rsidRDefault="00EE74F9" w:rsidP="00C553FE">
            <w:pPr>
              <w:pStyle w:val="Tabletext0"/>
              <w:rPr>
                <w:szCs w:val="20"/>
              </w:rPr>
            </w:pPr>
            <w:r w:rsidRPr="002513B4">
              <w:rPr>
                <w:szCs w:val="20"/>
              </w:rPr>
              <w:t>Regional Advanced Techniques Staff Statistics Program</w:t>
            </w:r>
          </w:p>
        </w:tc>
      </w:tr>
      <w:tr w:rsidR="00EE74F9" w:rsidRPr="002513B4" w14:paraId="5C2170F4" w14:textId="77777777" w:rsidTr="00150E99">
        <w:trPr>
          <w:cantSplit/>
        </w:trPr>
        <w:tc>
          <w:tcPr>
            <w:tcW w:w="1908" w:type="dxa"/>
          </w:tcPr>
          <w:p w14:paraId="522F7CF1" w14:textId="77777777" w:rsidR="00EE74F9" w:rsidRPr="002513B4" w:rsidRDefault="00EE74F9" w:rsidP="00150E99">
            <w:pPr>
              <w:pStyle w:val="Tabletext0"/>
              <w:jc w:val="right"/>
              <w:rPr>
                <w:szCs w:val="20"/>
              </w:rPr>
            </w:pPr>
            <w:r w:rsidRPr="002513B4">
              <w:rPr>
                <w:szCs w:val="20"/>
              </w:rPr>
              <w:t>ROC</w:t>
            </w:r>
          </w:p>
        </w:tc>
        <w:tc>
          <w:tcPr>
            <w:tcW w:w="7560" w:type="dxa"/>
          </w:tcPr>
          <w:p w14:paraId="02D90F02" w14:textId="77777777" w:rsidR="00EE74F9" w:rsidRPr="002513B4" w:rsidRDefault="00EE74F9" w:rsidP="00C553FE">
            <w:pPr>
              <w:pStyle w:val="Tabletext0"/>
              <w:rPr>
                <w:szCs w:val="20"/>
              </w:rPr>
            </w:pPr>
            <w:r w:rsidRPr="002513B4">
              <w:rPr>
                <w:szCs w:val="20"/>
              </w:rPr>
              <w:t>Resumption of Care (OASIS Assessment)</w:t>
            </w:r>
          </w:p>
        </w:tc>
      </w:tr>
      <w:tr w:rsidR="00EE74F9" w:rsidRPr="002513B4" w14:paraId="49322DD4" w14:textId="77777777" w:rsidTr="00150E99">
        <w:trPr>
          <w:cantSplit/>
        </w:trPr>
        <w:tc>
          <w:tcPr>
            <w:tcW w:w="1908" w:type="dxa"/>
          </w:tcPr>
          <w:p w14:paraId="09F72773" w14:textId="77777777" w:rsidR="00EE74F9" w:rsidRPr="002513B4" w:rsidRDefault="00EE74F9" w:rsidP="00150E99">
            <w:pPr>
              <w:pStyle w:val="Tabletext0"/>
              <w:jc w:val="right"/>
              <w:rPr>
                <w:szCs w:val="20"/>
              </w:rPr>
            </w:pPr>
            <w:r w:rsidRPr="002513B4">
              <w:rPr>
                <w:szCs w:val="20"/>
              </w:rPr>
              <w:t>SAS</w:t>
            </w:r>
          </w:p>
        </w:tc>
        <w:tc>
          <w:tcPr>
            <w:tcW w:w="7560" w:type="dxa"/>
          </w:tcPr>
          <w:p w14:paraId="69B112FC" w14:textId="77777777" w:rsidR="00EE74F9" w:rsidRPr="002513B4" w:rsidRDefault="00EE74F9" w:rsidP="00C553FE">
            <w:pPr>
              <w:pStyle w:val="Tabletext0"/>
              <w:rPr>
                <w:szCs w:val="20"/>
              </w:rPr>
            </w:pPr>
            <w:r w:rsidRPr="002513B4">
              <w:rPr>
                <w:szCs w:val="20"/>
              </w:rPr>
              <w:t>Statistical Analysis System</w:t>
            </w:r>
          </w:p>
        </w:tc>
      </w:tr>
      <w:tr w:rsidR="00EE74F9" w:rsidRPr="002513B4" w14:paraId="292949F9" w14:textId="77777777" w:rsidTr="00150E99">
        <w:trPr>
          <w:cantSplit/>
        </w:trPr>
        <w:tc>
          <w:tcPr>
            <w:tcW w:w="1908" w:type="dxa"/>
          </w:tcPr>
          <w:p w14:paraId="25150784" w14:textId="77777777" w:rsidR="00EE74F9" w:rsidRPr="002513B4" w:rsidRDefault="00EE74F9" w:rsidP="00150E99">
            <w:pPr>
              <w:pStyle w:val="Tabletext0"/>
              <w:jc w:val="right"/>
              <w:rPr>
                <w:szCs w:val="20"/>
              </w:rPr>
            </w:pPr>
            <w:r w:rsidRPr="002513B4">
              <w:rPr>
                <w:szCs w:val="20"/>
              </w:rPr>
              <w:t>SID</w:t>
            </w:r>
          </w:p>
        </w:tc>
        <w:tc>
          <w:tcPr>
            <w:tcW w:w="7560" w:type="dxa"/>
          </w:tcPr>
          <w:p w14:paraId="32CE2334" w14:textId="77777777" w:rsidR="00EE74F9" w:rsidRPr="002513B4" w:rsidRDefault="00EE74F9" w:rsidP="00C553FE">
            <w:pPr>
              <w:pStyle w:val="Tabletext0"/>
              <w:rPr>
                <w:szCs w:val="20"/>
              </w:rPr>
            </w:pPr>
            <w:r w:rsidRPr="002513B4">
              <w:rPr>
                <w:szCs w:val="20"/>
              </w:rPr>
              <w:t>Sample identification (number)</w:t>
            </w:r>
          </w:p>
        </w:tc>
      </w:tr>
      <w:tr w:rsidR="00EE74F9" w:rsidRPr="002513B4" w14:paraId="4520DE32" w14:textId="77777777" w:rsidTr="00150E99">
        <w:trPr>
          <w:cantSplit/>
        </w:trPr>
        <w:tc>
          <w:tcPr>
            <w:tcW w:w="1908" w:type="dxa"/>
          </w:tcPr>
          <w:p w14:paraId="3007A542" w14:textId="77777777" w:rsidR="00EE74F9" w:rsidRPr="002513B4" w:rsidRDefault="00EE74F9" w:rsidP="00150E99">
            <w:pPr>
              <w:pStyle w:val="Tabletext0"/>
              <w:jc w:val="right"/>
              <w:rPr>
                <w:szCs w:val="20"/>
              </w:rPr>
            </w:pPr>
            <w:r w:rsidRPr="002513B4">
              <w:rPr>
                <w:szCs w:val="20"/>
              </w:rPr>
              <w:lastRenderedPageBreak/>
              <w:t>SOC</w:t>
            </w:r>
          </w:p>
        </w:tc>
        <w:tc>
          <w:tcPr>
            <w:tcW w:w="7560" w:type="dxa"/>
          </w:tcPr>
          <w:p w14:paraId="305B999D" w14:textId="77777777" w:rsidR="00EE74F9" w:rsidRPr="002513B4" w:rsidRDefault="00EE74F9" w:rsidP="00C553FE">
            <w:pPr>
              <w:pStyle w:val="Tabletext0"/>
              <w:rPr>
                <w:szCs w:val="20"/>
              </w:rPr>
            </w:pPr>
            <w:r w:rsidRPr="002513B4">
              <w:rPr>
                <w:szCs w:val="20"/>
              </w:rPr>
              <w:t>Start of Care (OASIS Assessment)</w:t>
            </w:r>
          </w:p>
        </w:tc>
      </w:tr>
      <w:tr w:rsidR="00EE74F9" w:rsidRPr="002513B4" w14:paraId="055608E8" w14:textId="77777777" w:rsidTr="00150E99">
        <w:trPr>
          <w:cantSplit/>
        </w:trPr>
        <w:tc>
          <w:tcPr>
            <w:tcW w:w="1908" w:type="dxa"/>
          </w:tcPr>
          <w:p w14:paraId="18F90CEB" w14:textId="77777777" w:rsidR="00EE74F9" w:rsidRPr="002513B4" w:rsidRDefault="00EE74F9" w:rsidP="00150E99">
            <w:pPr>
              <w:pStyle w:val="Tabletext0"/>
              <w:jc w:val="right"/>
              <w:rPr>
                <w:szCs w:val="20"/>
              </w:rPr>
            </w:pPr>
            <w:r w:rsidRPr="002513B4">
              <w:rPr>
                <w:szCs w:val="20"/>
              </w:rPr>
              <w:t>SRS</w:t>
            </w:r>
          </w:p>
        </w:tc>
        <w:tc>
          <w:tcPr>
            <w:tcW w:w="7560" w:type="dxa"/>
          </w:tcPr>
          <w:p w14:paraId="2571444D" w14:textId="77777777" w:rsidR="00EE74F9" w:rsidRPr="002513B4" w:rsidRDefault="00EE74F9" w:rsidP="00C553FE">
            <w:pPr>
              <w:pStyle w:val="Tabletext0"/>
              <w:rPr>
                <w:szCs w:val="20"/>
              </w:rPr>
            </w:pPr>
            <w:r w:rsidRPr="002513B4">
              <w:rPr>
                <w:szCs w:val="20"/>
              </w:rPr>
              <w:t>Simple random sampling</w:t>
            </w:r>
          </w:p>
        </w:tc>
      </w:tr>
      <w:tr w:rsidR="00EE74F9" w:rsidRPr="002513B4" w14:paraId="0393DA51" w14:textId="77777777" w:rsidTr="00150E99">
        <w:trPr>
          <w:cantSplit/>
        </w:trPr>
        <w:tc>
          <w:tcPr>
            <w:tcW w:w="1908" w:type="dxa"/>
            <w:tcBorders>
              <w:bottom w:val="single" w:sz="8" w:space="0" w:color="1F497D"/>
            </w:tcBorders>
          </w:tcPr>
          <w:p w14:paraId="50A051F8" w14:textId="77777777" w:rsidR="00EE74F9" w:rsidRPr="002513B4" w:rsidRDefault="00EE74F9" w:rsidP="00150E99">
            <w:pPr>
              <w:pStyle w:val="Tabletext0"/>
              <w:jc w:val="right"/>
              <w:rPr>
                <w:szCs w:val="20"/>
              </w:rPr>
            </w:pPr>
            <w:r w:rsidRPr="002513B4">
              <w:rPr>
                <w:szCs w:val="20"/>
              </w:rPr>
              <w:t>XML</w:t>
            </w:r>
          </w:p>
        </w:tc>
        <w:tc>
          <w:tcPr>
            <w:tcW w:w="7560" w:type="dxa"/>
            <w:tcBorders>
              <w:bottom w:val="single" w:sz="8" w:space="0" w:color="1F497D"/>
            </w:tcBorders>
          </w:tcPr>
          <w:p w14:paraId="31757EF2" w14:textId="77777777" w:rsidR="00EE74F9" w:rsidRPr="002513B4" w:rsidRDefault="00EE74F9" w:rsidP="00C553FE">
            <w:pPr>
              <w:pStyle w:val="Tabletext0"/>
              <w:rPr>
                <w:szCs w:val="20"/>
              </w:rPr>
            </w:pPr>
            <w:r w:rsidRPr="002513B4">
              <w:rPr>
                <w:szCs w:val="20"/>
              </w:rPr>
              <w:t>Extensible Markup Language</w:t>
            </w:r>
          </w:p>
        </w:tc>
      </w:tr>
    </w:tbl>
    <w:p w14:paraId="5A2B0514" w14:textId="77777777" w:rsidR="00EE74F9" w:rsidRPr="002513B4" w:rsidRDefault="00EE74F9" w:rsidP="00EE74F9"/>
    <w:p w14:paraId="3F6EBE30" w14:textId="77777777" w:rsidR="00EE74F9" w:rsidRPr="002513B4" w:rsidRDefault="00EE74F9" w:rsidP="00EE74F9">
      <w:pPr>
        <w:pStyle w:val="TOCHeading"/>
        <w:jc w:val="left"/>
        <w:rPr>
          <w:rFonts w:hint="eastAsia"/>
        </w:rPr>
        <w:sectPr w:rsidR="00EE74F9" w:rsidRPr="002513B4" w:rsidSect="00662B4E">
          <w:headerReference w:type="even" r:id="rId25"/>
          <w:footerReference w:type="even" r:id="rId26"/>
          <w:headerReference w:type="first" r:id="rId27"/>
          <w:footerReference w:type="first" r:id="rId28"/>
          <w:pgSz w:w="12240" w:h="15840" w:code="1"/>
          <w:pgMar w:top="1440" w:right="1440" w:bottom="1440" w:left="1440" w:header="720" w:footer="720" w:gutter="0"/>
          <w:pgNumType w:fmt="lowerRoman"/>
          <w:cols w:space="720"/>
          <w:titlePg/>
        </w:sectPr>
      </w:pPr>
    </w:p>
    <w:p w14:paraId="1682FCD3" w14:textId="482BFA87" w:rsidR="00EE74F9" w:rsidRPr="002513B4" w:rsidRDefault="00EE74F9" w:rsidP="008A2AE9">
      <w:pPr>
        <w:pStyle w:val="TOCHeading"/>
        <w:spacing w:after="680"/>
        <w:rPr>
          <w:rFonts w:ascii="Verdana" w:hAnsi="Verdana"/>
          <w:smallCaps w:val="0"/>
          <w:color w:val="1F497D"/>
          <w:sz w:val="24"/>
          <w:szCs w:val="24"/>
        </w:rPr>
      </w:pPr>
      <w:r w:rsidRPr="002513B4">
        <w:rPr>
          <w:rFonts w:ascii="Verdana" w:hAnsi="Verdana"/>
          <w:smallCaps w:val="0"/>
          <w:color w:val="1F497D"/>
          <w:sz w:val="24"/>
          <w:szCs w:val="24"/>
        </w:rPr>
        <w:lastRenderedPageBreak/>
        <w:br/>
        <w:t>Table of Contents</w:t>
      </w:r>
    </w:p>
    <w:p w14:paraId="0A16F827" w14:textId="7A076A2A" w:rsidR="00C40D67" w:rsidRDefault="00EE74F9">
      <w:pPr>
        <w:pStyle w:val="TOC1"/>
        <w:rPr>
          <w:rFonts w:asciiTheme="minorHAnsi" w:eastAsiaTheme="minorEastAsia" w:hAnsiTheme="minorHAnsi" w:cstheme="minorBidi"/>
          <w:b w:val="0"/>
          <w:i w:val="0"/>
          <w:kern w:val="2"/>
          <w:sz w:val="24"/>
          <w:szCs w:val="24"/>
          <w14:ligatures w14:val="standardContextual"/>
        </w:rPr>
      </w:pPr>
      <w:r w:rsidRPr="002513B4">
        <w:rPr>
          <w:noProof w:val="0"/>
        </w:rPr>
        <w:fldChar w:fldCharType="begin"/>
      </w:r>
      <w:r w:rsidRPr="002513B4">
        <w:rPr>
          <w:noProof w:val="0"/>
        </w:rPr>
        <w:instrText xml:space="preserve"> TOC \h \z \t "Heading 2,1,Heading 3,2,FM Heading 1,1" </w:instrText>
      </w:r>
      <w:r w:rsidRPr="002513B4">
        <w:rPr>
          <w:noProof w:val="0"/>
        </w:rPr>
        <w:fldChar w:fldCharType="separate"/>
      </w:r>
      <w:hyperlink w:anchor="_Toc217305545" w:history="1">
        <w:r w:rsidR="00C40D67" w:rsidRPr="008E0E8A">
          <w:rPr>
            <w:rStyle w:val="Hyperlink"/>
          </w:rPr>
          <w:t>Communications and Technical Support for the Home Health Care CAHPS Survey</w:t>
        </w:r>
        <w:r w:rsidR="00C40D67">
          <w:rPr>
            <w:webHidden/>
          </w:rPr>
          <w:tab/>
        </w:r>
        <w:r w:rsidR="00C40D67">
          <w:rPr>
            <w:webHidden/>
          </w:rPr>
          <w:fldChar w:fldCharType="begin"/>
        </w:r>
        <w:r w:rsidR="00C40D67">
          <w:rPr>
            <w:webHidden/>
          </w:rPr>
          <w:instrText xml:space="preserve"> PAGEREF _Toc217305545 \h </w:instrText>
        </w:r>
        <w:r w:rsidR="00C40D67">
          <w:rPr>
            <w:webHidden/>
          </w:rPr>
        </w:r>
        <w:r w:rsidR="00C40D67">
          <w:rPr>
            <w:webHidden/>
          </w:rPr>
          <w:fldChar w:fldCharType="separate"/>
        </w:r>
        <w:r w:rsidR="00C40D67">
          <w:rPr>
            <w:webHidden/>
          </w:rPr>
          <w:t>i</w:t>
        </w:r>
        <w:r w:rsidR="00C40D67">
          <w:rPr>
            <w:webHidden/>
          </w:rPr>
          <w:fldChar w:fldCharType="end"/>
        </w:r>
      </w:hyperlink>
    </w:p>
    <w:p w14:paraId="2E3AB4BB" w14:textId="129791F4"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46" w:history="1">
        <w:r w:rsidRPr="008E0E8A">
          <w:rPr>
            <w:rStyle w:val="Hyperlink"/>
          </w:rPr>
          <w:t>List of Abbreviations and Acronyms Home Health Care CAHPS Survey Protocols and Guidelines Manual</w:t>
        </w:r>
        <w:r>
          <w:rPr>
            <w:webHidden/>
          </w:rPr>
          <w:tab/>
        </w:r>
        <w:r>
          <w:rPr>
            <w:webHidden/>
          </w:rPr>
          <w:fldChar w:fldCharType="begin"/>
        </w:r>
        <w:r>
          <w:rPr>
            <w:webHidden/>
          </w:rPr>
          <w:instrText xml:space="preserve"> PAGEREF _Toc217305546 \h </w:instrText>
        </w:r>
        <w:r>
          <w:rPr>
            <w:webHidden/>
          </w:rPr>
        </w:r>
        <w:r>
          <w:rPr>
            <w:webHidden/>
          </w:rPr>
          <w:fldChar w:fldCharType="separate"/>
        </w:r>
        <w:r>
          <w:rPr>
            <w:webHidden/>
          </w:rPr>
          <w:t>ii</w:t>
        </w:r>
        <w:r>
          <w:rPr>
            <w:webHidden/>
          </w:rPr>
          <w:fldChar w:fldCharType="end"/>
        </w:r>
      </w:hyperlink>
    </w:p>
    <w:p w14:paraId="1D342521" w14:textId="51C94237"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47" w:history="1">
        <w:r w:rsidRPr="008E0E8A">
          <w:rPr>
            <w:rStyle w:val="Hyperlink"/>
          </w:rPr>
          <w:t>Updates in this Release</w:t>
        </w:r>
        <w:r>
          <w:rPr>
            <w:webHidden/>
          </w:rPr>
          <w:tab/>
        </w:r>
        <w:r>
          <w:rPr>
            <w:webHidden/>
          </w:rPr>
          <w:fldChar w:fldCharType="begin"/>
        </w:r>
        <w:r>
          <w:rPr>
            <w:webHidden/>
          </w:rPr>
          <w:instrText xml:space="preserve"> PAGEREF _Toc217305547 \h </w:instrText>
        </w:r>
        <w:r>
          <w:rPr>
            <w:webHidden/>
          </w:rPr>
        </w:r>
        <w:r>
          <w:rPr>
            <w:webHidden/>
          </w:rPr>
          <w:fldChar w:fldCharType="separate"/>
        </w:r>
        <w:r>
          <w:rPr>
            <w:webHidden/>
          </w:rPr>
          <w:t>ix</w:t>
        </w:r>
        <w:r>
          <w:rPr>
            <w:webHidden/>
          </w:rPr>
          <w:fldChar w:fldCharType="end"/>
        </w:r>
      </w:hyperlink>
    </w:p>
    <w:p w14:paraId="7481297E" w14:textId="39C45385"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48" w:history="1">
        <w:r w:rsidRPr="008E0E8A">
          <w:rPr>
            <w:rStyle w:val="Hyperlink"/>
          </w:rPr>
          <w:t>Chapter 1: Overview of the Contents of the Protocol and Guidelines Manual</w:t>
        </w:r>
        <w:r>
          <w:rPr>
            <w:webHidden/>
          </w:rPr>
          <w:tab/>
        </w:r>
        <w:r>
          <w:rPr>
            <w:webHidden/>
          </w:rPr>
          <w:fldChar w:fldCharType="begin"/>
        </w:r>
        <w:r>
          <w:rPr>
            <w:webHidden/>
          </w:rPr>
          <w:instrText xml:space="preserve"> PAGEREF _Toc217305548 \h </w:instrText>
        </w:r>
        <w:r>
          <w:rPr>
            <w:webHidden/>
          </w:rPr>
        </w:r>
        <w:r>
          <w:rPr>
            <w:webHidden/>
          </w:rPr>
          <w:fldChar w:fldCharType="separate"/>
        </w:r>
        <w:r>
          <w:rPr>
            <w:webHidden/>
          </w:rPr>
          <w:t>1</w:t>
        </w:r>
        <w:r>
          <w:rPr>
            <w:webHidden/>
          </w:rPr>
          <w:fldChar w:fldCharType="end"/>
        </w:r>
      </w:hyperlink>
    </w:p>
    <w:p w14:paraId="1A21C40E" w14:textId="35D41FFA"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49" w:history="1">
        <w:r w:rsidRPr="008E0E8A">
          <w:rPr>
            <w:rStyle w:val="Hyperlink"/>
          </w:rPr>
          <w:t>1.1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_Toc217305549 \h </w:instrText>
        </w:r>
        <w:r>
          <w:rPr>
            <w:webHidden/>
          </w:rPr>
        </w:r>
        <w:r>
          <w:rPr>
            <w:webHidden/>
          </w:rPr>
          <w:fldChar w:fldCharType="separate"/>
        </w:r>
        <w:r>
          <w:rPr>
            <w:webHidden/>
          </w:rPr>
          <w:t>1</w:t>
        </w:r>
        <w:r>
          <w:rPr>
            <w:webHidden/>
          </w:rPr>
          <w:fldChar w:fldCharType="end"/>
        </w:r>
      </w:hyperlink>
    </w:p>
    <w:p w14:paraId="1C6B1B8A" w14:textId="2B300C09"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0" w:history="1">
        <w:r w:rsidRPr="008E0E8A">
          <w:rPr>
            <w:rStyle w:val="Hyperlink"/>
          </w:rPr>
          <w:t>1.2</w:t>
        </w:r>
        <w:r>
          <w:rPr>
            <w:rFonts w:asciiTheme="minorHAnsi" w:eastAsiaTheme="minorEastAsia" w:hAnsiTheme="minorHAnsi" w:cstheme="minorBidi"/>
            <w:kern w:val="2"/>
            <w:sz w:val="24"/>
            <w14:ligatures w14:val="standardContextual"/>
          </w:rPr>
          <w:tab/>
        </w:r>
        <w:r w:rsidRPr="008E0E8A">
          <w:rPr>
            <w:rStyle w:val="Hyperlink"/>
          </w:rPr>
          <w:t xml:space="preserve">Chapter-by-Chapter Contents of the </w:t>
        </w:r>
        <w:r w:rsidRPr="008E0E8A">
          <w:rPr>
            <w:rStyle w:val="Hyperlink"/>
            <w:i/>
          </w:rPr>
          <w:t>Home Health Care CAHPS Survey Protocols and Guidelines Manual</w:t>
        </w:r>
        <w:r>
          <w:rPr>
            <w:webHidden/>
          </w:rPr>
          <w:tab/>
        </w:r>
        <w:r>
          <w:rPr>
            <w:webHidden/>
          </w:rPr>
          <w:fldChar w:fldCharType="begin"/>
        </w:r>
        <w:r>
          <w:rPr>
            <w:webHidden/>
          </w:rPr>
          <w:instrText xml:space="preserve"> PAGEREF _Toc217305550 \h </w:instrText>
        </w:r>
        <w:r>
          <w:rPr>
            <w:webHidden/>
          </w:rPr>
        </w:r>
        <w:r>
          <w:rPr>
            <w:webHidden/>
          </w:rPr>
          <w:fldChar w:fldCharType="separate"/>
        </w:r>
        <w:r>
          <w:rPr>
            <w:webHidden/>
          </w:rPr>
          <w:t>1</w:t>
        </w:r>
        <w:r>
          <w:rPr>
            <w:webHidden/>
          </w:rPr>
          <w:fldChar w:fldCharType="end"/>
        </w:r>
      </w:hyperlink>
    </w:p>
    <w:p w14:paraId="540C376D" w14:textId="53CFD731"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51" w:history="1">
        <w:r w:rsidRPr="008E0E8A">
          <w:rPr>
            <w:rStyle w:val="Hyperlink"/>
          </w:rPr>
          <w:t>Chapter 2: Introduction and Background</w:t>
        </w:r>
        <w:r>
          <w:rPr>
            <w:webHidden/>
          </w:rPr>
          <w:tab/>
        </w:r>
        <w:r>
          <w:rPr>
            <w:webHidden/>
          </w:rPr>
          <w:fldChar w:fldCharType="begin"/>
        </w:r>
        <w:r>
          <w:rPr>
            <w:webHidden/>
          </w:rPr>
          <w:instrText xml:space="preserve"> PAGEREF _Toc217305551 \h </w:instrText>
        </w:r>
        <w:r>
          <w:rPr>
            <w:webHidden/>
          </w:rPr>
        </w:r>
        <w:r>
          <w:rPr>
            <w:webHidden/>
          </w:rPr>
          <w:fldChar w:fldCharType="separate"/>
        </w:r>
        <w:r>
          <w:rPr>
            <w:webHidden/>
          </w:rPr>
          <w:t>4</w:t>
        </w:r>
        <w:r>
          <w:rPr>
            <w:webHidden/>
          </w:rPr>
          <w:fldChar w:fldCharType="end"/>
        </w:r>
      </w:hyperlink>
    </w:p>
    <w:p w14:paraId="73B73692" w14:textId="728DAE30"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2" w:history="1">
        <w:r w:rsidRPr="008E0E8A">
          <w:rPr>
            <w:rStyle w:val="Hyperlink"/>
          </w:rPr>
          <w:t>2.1</w:t>
        </w:r>
        <w:r>
          <w:rPr>
            <w:rFonts w:asciiTheme="minorHAnsi" w:eastAsiaTheme="minorEastAsia" w:hAnsiTheme="minorHAnsi" w:cstheme="minorBidi"/>
            <w:kern w:val="2"/>
            <w:sz w:val="24"/>
            <w14:ligatures w14:val="standardContextual"/>
          </w:rPr>
          <w:tab/>
        </w:r>
        <w:r w:rsidRPr="008E0E8A">
          <w:rPr>
            <w:rStyle w:val="Hyperlink"/>
          </w:rPr>
          <w:t>Overview of CAHPS Survey</w:t>
        </w:r>
        <w:r>
          <w:rPr>
            <w:webHidden/>
          </w:rPr>
          <w:tab/>
        </w:r>
        <w:r>
          <w:rPr>
            <w:webHidden/>
          </w:rPr>
          <w:fldChar w:fldCharType="begin"/>
        </w:r>
        <w:r>
          <w:rPr>
            <w:webHidden/>
          </w:rPr>
          <w:instrText xml:space="preserve"> PAGEREF _Toc217305552 \h </w:instrText>
        </w:r>
        <w:r>
          <w:rPr>
            <w:webHidden/>
          </w:rPr>
        </w:r>
        <w:r>
          <w:rPr>
            <w:webHidden/>
          </w:rPr>
          <w:fldChar w:fldCharType="separate"/>
        </w:r>
        <w:r>
          <w:rPr>
            <w:webHidden/>
          </w:rPr>
          <w:t>4</w:t>
        </w:r>
        <w:r>
          <w:rPr>
            <w:webHidden/>
          </w:rPr>
          <w:fldChar w:fldCharType="end"/>
        </w:r>
      </w:hyperlink>
    </w:p>
    <w:p w14:paraId="56B58768" w14:textId="2F1B5E32"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3" w:history="1">
        <w:r w:rsidRPr="008E0E8A">
          <w:rPr>
            <w:rStyle w:val="Hyperlink"/>
          </w:rPr>
          <w:t>2.2</w:t>
        </w:r>
        <w:r>
          <w:rPr>
            <w:rFonts w:asciiTheme="minorHAnsi" w:eastAsiaTheme="minorEastAsia" w:hAnsiTheme="minorHAnsi" w:cstheme="minorBidi"/>
            <w:kern w:val="2"/>
            <w:sz w:val="24"/>
            <w14:ligatures w14:val="standardContextual"/>
          </w:rPr>
          <w:tab/>
        </w:r>
        <w:r w:rsidRPr="008E0E8A">
          <w:rPr>
            <w:rStyle w:val="Hyperlink"/>
          </w:rPr>
          <w:t>The HHCAHPS Quality Initiative</w:t>
        </w:r>
        <w:r>
          <w:rPr>
            <w:webHidden/>
          </w:rPr>
          <w:tab/>
        </w:r>
        <w:r>
          <w:rPr>
            <w:webHidden/>
          </w:rPr>
          <w:fldChar w:fldCharType="begin"/>
        </w:r>
        <w:r>
          <w:rPr>
            <w:webHidden/>
          </w:rPr>
          <w:instrText xml:space="preserve"> PAGEREF _Toc217305553 \h </w:instrText>
        </w:r>
        <w:r>
          <w:rPr>
            <w:webHidden/>
          </w:rPr>
        </w:r>
        <w:r>
          <w:rPr>
            <w:webHidden/>
          </w:rPr>
          <w:fldChar w:fldCharType="separate"/>
        </w:r>
        <w:r>
          <w:rPr>
            <w:webHidden/>
          </w:rPr>
          <w:t>4</w:t>
        </w:r>
        <w:r>
          <w:rPr>
            <w:webHidden/>
          </w:rPr>
          <w:fldChar w:fldCharType="end"/>
        </w:r>
      </w:hyperlink>
    </w:p>
    <w:p w14:paraId="0D18911A" w14:textId="2A0B9812"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4" w:history="1">
        <w:r w:rsidRPr="008E0E8A">
          <w:rPr>
            <w:rStyle w:val="Hyperlink"/>
          </w:rPr>
          <w:t>2.3</w:t>
        </w:r>
        <w:r>
          <w:rPr>
            <w:rFonts w:asciiTheme="minorHAnsi" w:eastAsiaTheme="minorEastAsia" w:hAnsiTheme="minorHAnsi" w:cstheme="minorBidi"/>
            <w:kern w:val="2"/>
            <w:sz w:val="24"/>
            <w14:ligatures w14:val="standardContextual"/>
          </w:rPr>
          <w:tab/>
        </w:r>
        <w:r w:rsidRPr="008E0E8A">
          <w:rPr>
            <w:rStyle w:val="Hyperlink"/>
          </w:rPr>
          <w:t>Development of the HHCAHPS Survey</w:t>
        </w:r>
        <w:r>
          <w:rPr>
            <w:webHidden/>
          </w:rPr>
          <w:tab/>
        </w:r>
        <w:r>
          <w:rPr>
            <w:webHidden/>
          </w:rPr>
          <w:fldChar w:fldCharType="begin"/>
        </w:r>
        <w:r>
          <w:rPr>
            <w:webHidden/>
          </w:rPr>
          <w:instrText xml:space="preserve"> PAGEREF _Toc217305554 \h </w:instrText>
        </w:r>
        <w:r>
          <w:rPr>
            <w:webHidden/>
          </w:rPr>
        </w:r>
        <w:r>
          <w:rPr>
            <w:webHidden/>
          </w:rPr>
          <w:fldChar w:fldCharType="separate"/>
        </w:r>
        <w:r>
          <w:rPr>
            <w:webHidden/>
          </w:rPr>
          <w:t>4</w:t>
        </w:r>
        <w:r>
          <w:rPr>
            <w:webHidden/>
          </w:rPr>
          <w:fldChar w:fldCharType="end"/>
        </w:r>
      </w:hyperlink>
    </w:p>
    <w:p w14:paraId="028350A4" w14:textId="7E5351FF"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5" w:history="1">
        <w:r w:rsidRPr="008E0E8A">
          <w:rPr>
            <w:rStyle w:val="Hyperlink"/>
          </w:rPr>
          <w:t>2.4</w:t>
        </w:r>
        <w:r>
          <w:rPr>
            <w:rFonts w:asciiTheme="minorHAnsi" w:eastAsiaTheme="minorEastAsia" w:hAnsiTheme="minorHAnsi" w:cstheme="minorBidi"/>
            <w:kern w:val="2"/>
            <w:sz w:val="24"/>
            <w14:ligatures w14:val="standardContextual"/>
          </w:rPr>
          <w:tab/>
        </w:r>
        <w:r w:rsidRPr="008E0E8A">
          <w:rPr>
            <w:rStyle w:val="Hyperlink"/>
          </w:rPr>
          <w:t>Mode Experiment</w:t>
        </w:r>
        <w:r>
          <w:rPr>
            <w:webHidden/>
          </w:rPr>
          <w:tab/>
        </w:r>
        <w:r>
          <w:rPr>
            <w:webHidden/>
          </w:rPr>
          <w:fldChar w:fldCharType="begin"/>
        </w:r>
        <w:r>
          <w:rPr>
            <w:webHidden/>
          </w:rPr>
          <w:instrText xml:space="preserve"> PAGEREF _Toc217305555 \h </w:instrText>
        </w:r>
        <w:r>
          <w:rPr>
            <w:webHidden/>
          </w:rPr>
        </w:r>
        <w:r>
          <w:rPr>
            <w:webHidden/>
          </w:rPr>
          <w:fldChar w:fldCharType="separate"/>
        </w:r>
        <w:r>
          <w:rPr>
            <w:webHidden/>
          </w:rPr>
          <w:t>5</w:t>
        </w:r>
        <w:r>
          <w:rPr>
            <w:webHidden/>
          </w:rPr>
          <w:fldChar w:fldCharType="end"/>
        </w:r>
      </w:hyperlink>
    </w:p>
    <w:p w14:paraId="02B94DEB" w14:textId="20DD6E6F"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6" w:history="1">
        <w:r w:rsidRPr="008E0E8A">
          <w:rPr>
            <w:rStyle w:val="Hyperlink"/>
          </w:rPr>
          <w:t>2.5</w:t>
        </w:r>
        <w:r>
          <w:rPr>
            <w:rFonts w:asciiTheme="minorHAnsi" w:eastAsiaTheme="minorEastAsia" w:hAnsiTheme="minorHAnsi" w:cstheme="minorBidi"/>
            <w:kern w:val="2"/>
            <w:sz w:val="24"/>
            <w14:ligatures w14:val="standardContextual"/>
          </w:rPr>
          <w:tab/>
        </w:r>
        <w:r w:rsidRPr="008E0E8A">
          <w:rPr>
            <w:rStyle w:val="Hyperlink"/>
          </w:rPr>
          <w:t>Endorsement of HHCAHPS Survey Measures by CMS’s Consensus-Based Entities</w:t>
        </w:r>
        <w:r>
          <w:rPr>
            <w:webHidden/>
          </w:rPr>
          <w:tab/>
        </w:r>
        <w:r>
          <w:rPr>
            <w:webHidden/>
          </w:rPr>
          <w:fldChar w:fldCharType="begin"/>
        </w:r>
        <w:r>
          <w:rPr>
            <w:webHidden/>
          </w:rPr>
          <w:instrText xml:space="preserve"> PAGEREF _Toc217305556 \h </w:instrText>
        </w:r>
        <w:r>
          <w:rPr>
            <w:webHidden/>
          </w:rPr>
        </w:r>
        <w:r>
          <w:rPr>
            <w:webHidden/>
          </w:rPr>
          <w:fldChar w:fldCharType="separate"/>
        </w:r>
        <w:r>
          <w:rPr>
            <w:webHidden/>
          </w:rPr>
          <w:t>6</w:t>
        </w:r>
        <w:r>
          <w:rPr>
            <w:webHidden/>
          </w:rPr>
          <w:fldChar w:fldCharType="end"/>
        </w:r>
      </w:hyperlink>
    </w:p>
    <w:p w14:paraId="19EED58A" w14:textId="18B0BB31"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7" w:history="1">
        <w:r w:rsidRPr="008E0E8A">
          <w:rPr>
            <w:rStyle w:val="Hyperlink"/>
          </w:rPr>
          <w:t>2.6</w:t>
        </w:r>
        <w:r>
          <w:rPr>
            <w:rFonts w:asciiTheme="minorHAnsi" w:eastAsiaTheme="minorEastAsia" w:hAnsiTheme="minorHAnsi" w:cstheme="minorBidi"/>
            <w:kern w:val="2"/>
            <w:sz w:val="24"/>
            <w14:ligatures w14:val="standardContextual"/>
          </w:rPr>
          <w:tab/>
        </w:r>
        <w:r w:rsidRPr="008E0E8A">
          <w:rPr>
            <w:rStyle w:val="Hyperlink"/>
          </w:rPr>
          <w:t>Office of Management and Budget and Public Comment Process</w:t>
        </w:r>
        <w:r>
          <w:rPr>
            <w:webHidden/>
          </w:rPr>
          <w:tab/>
        </w:r>
        <w:r>
          <w:rPr>
            <w:webHidden/>
          </w:rPr>
          <w:fldChar w:fldCharType="begin"/>
        </w:r>
        <w:r>
          <w:rPr>
            <w:webHidden/>
          </w:rPr>
          <w:instrText xml:space="preserve"> PAGEREF _Toc217305557 \h </w:instrText>
        </w:r>
        <w:r>
          <w:rPr>
            <w:webHidden/>
          </w:rPr>
        </w:r>
        <w:r>
          <w:rPr>
            <w:webHidden/>
          </w:rPr>
          <w:fldChar w:fldCharType="separate"/>
        </w:r>
        <w:r>
          <w:rPr>
            <w:webHidden/>
          </w:rPr>
          <w:t>6</w:t>
        </w:r>
        <w:r>
          <w:rPr>
            <w:webHidden/>
          </w:rPr>
          <w:fldChar w:fldCharType="end"/>
        </w:r>
      </w:hyperlink>
    </w:p>
    <w:p w14:paraId="7A82DD33" w14:textId="71A69B4D"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8" w:history="1">
        <w:r w:rsidRPr="008E0E8A">
          <w:rPr>
            <w:rStyle w:val="Hyperlink"/>
          </w:rPr>
          <w:t>2.7</w:t>
        </w:r>
        <w:r>
          <w:rPr>
            <w:rFonts w:asciiTheme="minorHAnsi" w:eastAsiaTheme="minorEastAsia" w:hAnsiTheme="minorHAnsi" w:cstheme="minorBidi"/>
            <w:kern w:val="2"/>
            <w:sz w:val="24"/>
            <w14:ligatures w14:val="standardContextual"/>
          </w:rPr>
          <w:tab/>
        </w:r>
        <w:r w:rsidRPr="008E0E8A">
          <w:rPr>
            <w:rStyle w:val="Hyperlink"/>
          </w:rPr>
          <w:t>HHCAHPS Survey Instrument</w:t>
        </w:r>
        <w:r>
          <w:rPr>
            <w:webHidden/>
          </w:rPr>
          <w:tab/>
        </w:r>
        <w:r>
          <w:rPr>
            <w:webHidden/>
          </w:rPr>
          <w:fldChar w:fldCharType="begin"/>
        </w:r>
        <w:r>
          <w:rPr>
            <w:webHidden/>
          </w:rPr>
          <w:instrText xml:space="preserve"> PAGEREF _Toc217305558 \h </w:instrText>
        </w:r>
        <w:r>
          <w:rPr>
            <w:webHidden/>
          </w:rPr>
        </w:r>
        <w:r>
          <w:rPr>
            <w:webHidden/>
          </w:rPr>
          <w:fldChar w:fldCharType="separate"/>
        </w:r>
        <w:r>
          <w:rPr>
            <w:webHidden/>
          </w:rPr>
          <w:t>6</w:t>
        </w:r>
        <w:r>
          <w:rPr>
            <w:webHidden/>
          </w:rPr>
          <w:fldChar w:fldCharType="end"/>
        </w:r>
      </w:hyperlink>
    </w:p>
    <w:p w14:paraId="096CF073" w14:textId="401F5D60"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59" w:history="1">
        <w:r w:rsidRPr="008E0E8A">
          <w:rPr>
            <w:rStyle w:val="Hyperlink"/>
          </w:rPr>
          <w:t>2.8</w:t>
        </w:r>
        <w:r>
          <w:rPr>
            <w:rFonts w:asciiTheme="minorHAnsi" w:eastAsiaTheme="minorEastAsia" w:hAnsiTheme="minorHAnsi" w:cstheme="minorBidi"/>
            <w:kern w:val="2"/>
            <w:sz w:val="24"/>
            <w14:ligatures w14:val="standardContextual"/>
          </w:rPr>
          <w:tab/>
        </w:r>
        <w:r w:rsidRPr="008E0E8A">
          <w:rPr>
            <w:rStyle w:val="Hyperlink"/>
          </w:rPr>
          <w:t>HHCAHPS Survey Data Collection and Public Reporting</w:t>
        </w:r>
        <w:r>
          <w:rPr>
            <w:webHidden/>
          </w:rPr>
          <w:tab/>
        </w:r>
        <w:r>
          <w:rPr>
            <w:webHidden/>
          </w:rPr>
          <w:fldChar w:fldCharType="begin"/>
        </w:r>
        <w:r>
          <w:rPr>
            <w:webHidden/>
          </w:rPr>
          <w:instrText xml:space="preserve"> PAGEREF _Toc217305559 \h </w:instrText>
        </w:r>
        <w:r>
          <w:rPr>
            <w:webHidden/>
          </w:rPr>
        </w:r>
        <w:r>
          <w:rPr>
            <w:webHidden/>
          </w:rPr>
          <w:fldChar w:fldCharType="separate"/>
        </w:r>
        <w:r>
          <w:rPr>
            <w:webHidden/>
          </w:rPr>
          <w:t>7</w:t>
        </w:r>
        <w:r>
          <w:rPr>
            <w:webHidden/>
          </w:rPr>
          <w:fldChar w:fldCharType="end"/>
        </w:r>
      </w:hyperlink>
    </w:p>
    <w:p w14:paraId="3351240D" w14:textId="33563BDE"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0" w:history="1">
        <w:r w:rsidRPr="008E0E8A">
          <w:rPr>
            <w:rStyle w:val="Hyperlink"/>
          </w:rPr>
          <w:t>2.9</w:t>
        </w:r>
        <w:r>
          <w:rPr>
            <w:rFonts w:asciiTheme="minorHAnsi" w:eastAsiaTheme="minorEastAsia" w:hAnsiTheme="minorHAnsi" w:cstheme="minorBidi"/>
            <w:kern w:val="2"/>
            <w:sz w:val="24"/>
            <w14:ligatures w14:val="standardContextual"/>
          </w:rPr>
          <w:tab/>
        </w:r>
        <w:r w:rsidRPr="008E0E8A">
          <w:rPr>
            <w:rStyle w:val="Hyperlink"/>
          </w:rPr>
          <w:t>Sources of Information About the HHCAHPS Survey</w:t>
        </w:r>
        <w:r>
          <w:rPr>
            <w:webHidden/>
          </w:rPr>
          <w:tab/>
        </w:r>
        <w:r>
          <w:rPr>
            <w:webHidden/>
          </w:rPr>
          <w:fldChar w:fldCharType="begin"/>
        </w:r>
        <w:r>
          <w:rPr>
            <w:webHidden/>
          </w:rPr>
          <w:instrText xml:space="preserve"> PAGEREF _Toc217305560 \h </w:instrText>
        </w:r>
        <w:r>
          <w:rPr>
            <w:webHidden/>
          </w:rPr>
        </w:r>
        <w:r>
          <w:rPr>
            <w:webHidden/>
          </w:rPr>
          <w:fldChar w:fldCharType="separate"/>
        </w:r>
        <w:r>
          <w:rPr>
            <w:webHidden/>
          </w:rPr>
          <w:t>8</w:t>
        </w:r>
        <w:r>
          <w:rPr>
            <w:webHidden/>
          </w:rPr>
          <w:fldChar w:fldCharType="end"/>
        </w:r>
      </w:hyperlink>
    </w:p>
    <w:p w14:paraId="4AE0CA02" w14:textId="293F0C86"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61" w:history="1">
        <w:r w:rsidRPr="008E0E8A">
          <w:rPr>
            <w:rStyle w:val="Hyperlink"/>
          </w:rPr>
          <w:t>Chapter 3: Home Health Care CAHPS Survey Participation Requirements</w:t>
        </w:r>
        <w:r>
          <w:rPr>
            <w:webHidden/>
          </w:rPr>
          <w:tab/>
        </w:r>
        <w:r>
          <w:rPr>
            <w:webHidden/>
          </w:rPr>
          <w:fldChar w:fldCharType="begin"/>
        </w:r>
        <w:r>
          <w:rPr>
            <w:webHidden/>
          </w:rPr>
          <w:instrText xml:space="preserve"> PAGEREF _Toc217305561 \h </w:instrText>
        </w:r>
        <w:r>
          <w:rPr>
            <w:webHidden/>
          </w:rPr>
        </w:r>
        <w:r>
          <w:rPr>
            <w:webHidden/>
          </w:rPr>
          <w:fldChar w:fldCharType="separate"/>
        </w:r>
        <w:r>
          <w:rPr>
            <w:webHidden/>
          </w:rPr>
          <w:t>10</w:t>
        </w:r>
        <w:r>
          <w:rPr>
            <w:webHidden/>
          </w:rPr>
          <w:fldChar w:fldCharType="end"/>
        </w:r>
      </w:hyperlink>
    </w:p>
    <w:p w14:paraId="2CB28CEA" w14:textId="14C018D2"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2" w:history="1">
        <w:r w:rsidRPr="008E0E8A">
          <w:rPr>
            <w:rStyle w:val="Hyperlink"/>
          </w:rPr>
          <w:t>3.1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_Toc217305562 \h </w:instrText>
        </w:r>
        <w:r>
          <w:rPr>
            <w:webHidden/>
          </w:rPr>
        </w:r>
        <w:r>
          <w:rPr>
            <w:webHidden/>
          </w:rPr>
          <w:fldChar w:fldCharType="separate"/>
        </w:r>
        <w:r>
          <w:rPr>
            <w:webHidden/>
          </w:rPr>
          <w:t>10</w:t>
        </w:r>
        <w:r>
          <w:rPr>
            <w:webHidden/>
          </w:rPr>
          <w:fldChar w:fldCharType="end"/>
        </w:r>
      </w:hyperlink>
    </w:p>
    <w:p w14:paraId="58D4ACD8" w14:textId="14E55363"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3" w:history="1">
        <w:r w:rsidRPr="008E0E8A">
          <w:rPr>
            <w:rStyle w:val="Hyperlink"/>
          </w:rPr>
          <w:t>3.2</w:t>
        </w:r>
        <w:r>
          <w:rPr>
            <w:rFonts w:asciiTheme="minorHAnsi" w:eastAsiaTheme="minorEastAsia" w:hAnsiTheme="minorHAnsi" w:cstheme="minorBidi"/>
            <w:kern w:val="2"/>
            <w:sz w:val="24"/>
            <w14:ligatures w14:val="standardContextual"/>
          </w:rPr>
          <w:tab/>
        </w:r>
        <w:r w:rsidRPr="008E0E8A">
          <w:rPr>
            <w:rStyle w:val="Hyperlink"/>
          </w:rPr>
          <w:t>Roles and Responsibilities</w:t>
        </w:r>
        <w:r>
          <w:rPr>
            <w:webHidden/>
          </w:rPr>
          <w:tab/>
        </w:r>
        <w:r>
          <w:rPr>
            <w:webHidden/>
          </w:rPr>
          <w:fldChar w:fldCharType="begin"/>
        </w:r>
        <w:r>
          <w:rPr>
            <w:webHidden/>
          </w:rPr>
          <w:instrText xml:space="preserve"> PAGEREF _Toc217305563 \h </w:instrText>
        </w:r>
        <w:r>
          <w:rPr>
            <w:webHidden/>
          </w:rPr>
        </w:r>
        <w:r>
          <w:rPr>
            <w:webHidden/>
          </w:rPr>
          <w:fldChar w:fldCharType="separate"/>
        </w:r>
        <w:r>
          <w:rPr>
            <w:webHidden/>
          </w:rPr>
          <w:t>10</w:t>
        </w:r>
        <w:r>
          <w:rPr>
            <w:webHidden/>
          </w:rPr>
          <w:fldChar w:fldCharType="end"/>
        </w:r>
      </w:hyperlink>
    </w:p>
    <w:p w14:paraId="71F7D161" w14:textId="1BF30999"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4" w:history="1">
        <w:r w:rsidRPr="008E0E8A">
          <w:rPr>
            <w:rStyle w:val="Hyperlink"/>
          </w:rPr>
          <w:t>3.3</w:t>
        </w:r>
        <w:r>
          <w:rPr>
            <w:rFonts w:asciiTheme="minorHAnsi" w:eastAsiaTheme="minorEastAsia" w:hAnsiTheme="minorHAnsi" w:cstheme="minorBidi"/>
            <w:kern w:val="2"/>
            <w:sz w:val="24"/>
            <w14:ligatures w14:val="standardContextual"/>
          </w:rPr>
          <w:tab/>
        </w:r>
        <w:r w:rsidRPr="008E0E8A">
          <w:rPr>
            <w:rStyle w:val="Hyperlink"/>
          </w:rPr>
          <w:t>Survey Vendor Participation Requirements</w:t>
        </w:r>
        <w:r>
          <w:rPr>
            <w:webHidden/>
          </w:rPr>
          <w:tab/>
        </w:r>
        <w:r>
          <w:rPr>
            <w:webHidden/>
          </w:rPr>
          <w:fldChar w:fldCharType="begin"/>
        </w:r>
        <w:r>
          <w:rPr>
            <w:webHidden/>
          </w:rPr>
          <w:instrText xml:space="preserve"> PAGEREF _Toc217305564 \h </w:instrText>
        </w:r>
        <w:r>
          <w:rPr>
            <w:webHidden/>
          </w:rPr>
        </w:r>
        <w:r>
          <w:rPr>
            <w:webHidden/>
          </w:rPr>
          <w:fldChar w:fldCharType="separate"/>
        </w:r>
        <w:r>
          <w:rPr>
            <w:webHidden/>
          </w:rPr>
          <w:t>15</w:t>
        </w:r>
        <w:r>
          <w:rPr>
            <w:webHidden/>
          </w:rPr>
          <w:fldChar w:fldCharType="end"/>
        </w:r>
      </w:hyperlink>
    </w:p>
    <w:p w14:paraId="4B285A31" w14:textId="2DDB8F9B"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5" w:history="1">
        <w:r w:rsidRPr="008E0E8A">
          <w:rPr>
            <w:rStyle w:val="Hyperlink"/>
          </w:rPr>
          <w:t>3.4</w:t>
        </w:r>
        <w:r>
          <w:rPr>
            <w:rFonts w:asciiTheme="minorHAnsi" w:eastAsiaTheme="minorEastAsia" w:hAnsiTheme="minorHAnsi" w:cstheme="minorBidi"/>
            <w:kern w:val="2"/>
            <w:sz w:val="24"/>
            <w14:ligatures w14:val="standardContextual"/>
          </w:rPr>
          <w:tab/>
        </w:r>
        <w:r w:rsidRPr="008E0E8A">
          <w:rPr>
            <w:rStyle w:val="Hyperlink"/>
          </w:rPr>
          <w:t>Survey Vendor Minimum Business Requirements</w:t>
        </w:r>
        <w:r>
          <w:rPr>
            <w:webHidden/>
          </w:rPr>
          <w:tab/>
        </w:r>
        <w:r>
          <w:rPr>
            <w:webHidden/>
          </w:rPr>
          <w:fldChar w:fldCharType="begin"/>
        </w:r>
        <w:r>
          <w:rPr>
            <w:webHidden/>
          </w:rPr>
          <w:instrText xml:space="preserve"> PAGEREF _Toc217305565 \h </w:instrText>
        </w:r>
        <w:r>
          <w:rPr>
            <w:webHidden/>
          </w:rPr>
        </w:r>
        <w:r>
          <w:rPr>
            <w:webHidden/>
          </w:rPr>
          <w:fldChar w:fldCharType="separate"/>
        </w:r>
        <w:r>
          <w:rPr>
            <w:webHidden/>
          </w:rPr>
          <w:t>17</w:t>
        </w:r>
        <w:r>
          <w:rPr>
            <w:webHidden/>
          </w:rPr>
          <w:fldChar w:fldCharType="end"/>
        </w:r>
      </w:hyperlink>
    </w:p>
    <w:p w14:paraId="6618EFA0" w14:textId="44A4A06E"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66" w:history="1">
        <w:r w:rsidRPr="008E0E8A">
          <w:rPr>
            <w:rStyle w:val="Hyperlink"/>
          </w:rPr>
          <w:t>Chapter 4: Home Health Care CAHPS Survey Sampling Procedures</w:t>
        </w:r>
        <w:r>
          <w:rPr>
            <w:webHidden/>
          </w:rPr>
          <w:tab/>
        </w:r>
        <w:r>
          <w:rPr>
            <w:webHidden/>
          </w:rPr>
          <w:fldChar w:fldCharType="begin"/>
        </w:r>
        <w:r>
          <w:rPr>
            <w:webHidden/>
          </w:rPr>
          <w:instrText xml:space="preserve"> PAGEREF _Toc217305566 \h </w:instrText>
        </w:r>
        <w:r>
          <w:rPr>
            <w:webHidden/>
          </w:rPr>
        </w:r>
        <w:r>
          <w:rPr>
            <w:webHidden/>
          </w:rPr>
          <w:fldChar w:fldCharType="separate"/>
        </w:r>
        <w:r>
          <w:rPr>
            <w:webHidden/>
          </w:rPr>
          <w:t>18</w:t>
        </w:r>
        <w:r>
          <w:rPr>
            <w:webHidden/>
          </w:rPr>
          <w:fldChar w:fldCharType="end"/>
        </w:r>
      </w:hyperlink>
    </w:p>
    <w:p w14:paraId="65ADC78E" w14:textId="79FF5273"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7" w:history="1">
        <w:r w:rsidRPr="008E0E8A">
          <w:rPr>
            <w:rStyle w:val="Hyperlink"/>
          </w:rPr>
          <w:t>4.1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_Toc217305567 \h </w:instrText>
        </w:r>
        <w:r>
          <w:rPr>
            <w:webHidden/>
          </w:rPr>
        </w:r>
        <w:r>
          <w:rPr>
            <w:webHidden/>
          </w:rPr>
          <w:fldChar w:fldCharType="separate"/>
        </w:r>
        <w:r>
          <w:rPr>
            <w:webHidden/>
          </w:rPr>
          <w:t>18</w:t>
        </w:r>
        <w:r>
          <w:rPr>
            <w:webHidden/>
          </w:rPr>
          <w:fldChar w:fldCharType="end"/>
        </w:r>
      </w:hyperlink>
    </w:p>
    <w:p w14:paraId="56CD8B25" w14:textId="103D9177"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8" w:history="1">
        <w:r w:rsidRPr="008E0E8A">
          <w:rPr>
            <w:rStyle w:val="Hyperlink"/>
          </w:rPr>
          <w:t>4.2</w:t>
        </w:r>
        <w:r>
          <w:rPr>
            <w:rFonts w:asciiTheme="minorHAnsi" w:eastAsiaTheme="minorEastAsia" w:hAnsiTheme="minorHAnsi" w:cstheme="minorBidi"/>
            <w:kern w:val="2"/>
            <w:sz w:val="24"/>
            <w14:ligatures w14:val="standardContextual"/>
          </w:rPr>
          <w:tab/>
        </w:r>
        <w:r w:rsidRPr="008E0E8A">
          <w:rPr>
            <w:rStyle w:val="Hyperlink"/>
          </w:rPr>
          <w:t>Documenting Sampling Processes for Vendor Oversight</w:t>
        </w:r>
        <w:r>
          <w:rPr>
            <w:webHidden/>
          </w:rPr>
          <w:tab/>
        </w:r>
        <w:r>
          <w:rPr>
            <w:webHidden/>
          </w:rPr>
          <w:fldChar w:fldCharType="begin"/>
        </w:r>
        <w:r>
          <w:rPr>
            <w:webHidden/>
          </w:rPr>
          <w:instrText xml:space="preserve"> PAGEREF _Toc217305568 \h </w:instrText>
        </w:r>
        <w:r>
          <w:rPr>
            <w:webHidden/>
          </w:rPr>
        </w:r>
        <w:r>
          <w:rPr>
            <w:webHidden/>
          </w:rPr>
          <w:fldChar w:fldCharType="separate"/>
        </w:r>
        <w:r>
          <w:rPr>
            <w:webHidden/>
          </w:rPr>
          <w:t>18</w:t>
        </w:r>
        <w:r>
          <w:rPr>
            <w:webHidden/>
          </w:rPr>
          <w:fldChar w:fldCharType="end"/>
        </w:r>
      </w:hyperlink>
    </w:p>
    <w:p w14:paraId="265FEE3F" w14:textId="07CE1585"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69" w:history="1">
        <w:r w:rsidRPr="008E0E8A">
          <w:rPr>
            <w:rStyle w:val="Hyperlink"/>
          </w:rPr>
          <w:t>4.3</w:t>
        </w:r>
        <w:r>
          <w:rPr>
            <w:rFonts w:asciiTheme="minorHAnsi" w:eastAsiaTheme="minorEastAsia" w:hAnsiTheme="minorHAnsi" w:cstheme="minorBidi"/>
            <w:kern w:val="2"/>
            <w:sz w:val="24"/>
            <w14:ligatures w14:val="standardContextual"/>
          </w:rPr>
          <w:tab/>
        </w:r>
        <w:r w:rsidRPr="008E0E8A">
          <w:rPr>
            <w:rStyle w:val="Hyperlink"/>
          </w:rPr>
          <w:t>Step 1: Obtain a Monthly Patient Information File From Each Home Health Agency Client</w:t>
        </w:r>
        <w:r>
          <w:rPr>
            <w:webHidden/>
          </w:rPr>
          <w:tab/>
        </w:r>
        <w:r>
          <w:rPr>
            <w:webHidden/>
          </w:rPr>
          <w:fldChar w:fldCharType="begin"/>
        </w:r>
        <w:r>
          <w:rPr>
            <w:webHidden/>
          </w:rPr>
          <w:instrText xml:space="preserve"> PAGEREF _Toc217305569 \h </w:instrText>
        </w:r>
        <w:r>
          <w:rPr>
            <w:webHidden/>
          </w:rPr>
        </w:r>
        <w:r>
          <w:rPr>
            <w:webHidden/>
          </w:rPr>
          <w:fldChar w:fldCharType="separate"/>
        </w:r>
        <w:r>
          <w:rPr>
            <w:webHidden/>
          </w:rPr>
          <w:t>19</w:t>
        </w:r>
        <w:r>
          <w:rPr>
            <w:webHidden/>
          </w:rPr>
          <w:fldChar w:fldCharType="end"/>
        </w:r>
      </w:hyperlink>
    </w:p>
    <w:p w14:paraId="4943BEA1" w14:textId="26B636DF"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0" w:history="1">
        <w:r w:rsidRPr="008E0E8A">
          <w:rPr>
            <w:rStyle w:val="Hyperlink"/>
          </w:rPr>
          <w:t>4.4</w:t>
        </w:r>
        <w:r>
          <w:rPr>
            <w:rFonts w:asciiTheme="minorHAnsi" w:eastAsiaTheme="minorEastAsia" w:hAnsiTheme="minorHAnsi" w:cstheme="minorBidi"/>
            <w:kern w:val="2"/>
            <w:sz w:val="24"/>
            <w14:ligatures w14:val="standardContextual"/>
          </w:rPr>
          <w:tab/>
        </w:r>
        <w:r w:rsidRPr="008E0E8A">
          <w:rPr>
            <w:rStyle w:val="Hyperlink"/>
          </w:rPr>
          <w:t>Step 2: Examine the Monthly Patient Information File for Completeness</w:t>
        </w:r>
        <w:r>
          <w:rPr>
            <w:webHidden/>
          </w:rPr>
          <w:tab/>
        </w:r>
        <w:r>
          <w:rPr>
            <w:webHidden/>
          </w:rPr>
          <w:fldChar w:fldCharType="begin"/>
        </w:r>
        <w:r>
          <w:rPr>
            <w:webHidden/>
          </w:rPr>
          <w:instrText xml:space="preserve"> PAGEREF _Toc217305570 \h </w:instrText>
        </w:r>
        <w:r>
          <w:rPr>
            <w:webHidden/>
          </w:rPr>
        </w:r>
        <w:r>
          <w:rPr>
            <w:webHidden/>
          </w:rPr>
          <w:fldChar w:fldCharType="separate"/>
        </w:r>
        <w:r>
          <w:rPr>
            <w:webHidden/>
          </w:rPr>
          <w:t>28</w:t>
        </w:r>
        <w:r>
          <w:rPr>
            <w:webHidden/>
          </w:rPr>
          <w:fldChar w:fldCharType="end"/>
        </w:r>
      </w:hyperlink>
    </w:p>
    <w:p w14:paraId="46F4F4DD" w14:textId="3C5E3F07"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1" w:history="1">
        <w:r w:rsidRPr="008E0E8A">
          <w:rPr>
            <w:rStyle w:val="Hyperlink"/>
          </w:rPr>
          <w:t>4.5</w:t>
        </w:r>
        <w:r>
          <w:rPr>
            <w:rFonts w:asciiTheme="minorHAnsi" w:eastAsiaTheme="minorEastAsia" w:hAnsiTheme="minorHAnsi" w:cstheme="minorBidi"/>
            <w:kern w:val="2"/>
            <w:sz w:val="24"/>
            <w14:ligatures w14:val="standardContextual"/>
          </w:rPr>
          <w:tab/>
        </w:r>
        <w:r w:rsidRPr="008E0E8A">
          <w:rPr>
            <w:rStyle w:val="Hyperlink"/>
          </w:rPr>
          <w:t>Step 3: Identify Eligible Patients and Construct a Sampling Frame</w:t>
        </w:r>
        <w:r>
          <w:rPr>
            <w:webHidden/>
          </w:rPr>
          <w:tab/>
        </w:r>
        <w:r>
          <w:rPr>
            <w:webHidden/>
          </w:rPr>
          <w:fldChar w:fldCharType="begin"/>
        </w:r>
        <w:r>
          <w:rPr>
            <w:webHidden/>
          </w:rPr>
          <w:instrText xml:space="preserve"> PAGEREF _Toc217305571 \h </w:instrText>
        </w:r>
        <w:r>
          <w:rPr>
            <w:webHidden/>
          </w:rPr>
        </w:r>
        <w:r>
          <w:rPr>
            <w:webHidden/>
          </w:rPr>
          <w:fldChar w:fldCharType="separate"/>
        </w:r>
        <w:r>
          <w:rPr>
            <w:webHidden/>
          </w:rPr>
          <w:t>29</w:t>
        </w:r>
        <w:r>
          <w:rPr>
            <w:webHidden/>
          </w:rPr>
          <w:fldChar w:fldCharType="end"/>
        </w:r>
      </w:hyperlink>
    </w:p>
    <w:p w14:paraId="3E629BFA" w14:textId="09C56EC4"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2" w:history="1">
        <w:r w:rsidRPr="008E0E8A">
          <w:rPr>
            <w:rStyle w:val="Hyperlink"/>
          </w:rPr>
          <w:t>4.6</w:t>
        </w:r>
        <w:r>
          <w:rPr>
            <w:rFonts w:asciiTheme="minorHAnsi" w:eastAsiaTheme="minorEastAsia" w:hAnsiTheme="minorHAnsi" w:cstheme="minorBidi"/>
            <w:kern w:val="2"/>
            <w:sz w:val="24"/>
            <w14:ligatures w14:val="standardContextual"/>
          </w:rPr>
          <w:tab/>
        </w:r>
        <w:r w:rsidRPr="008E0E8A">
          <w:rPr>
            <w:rStyle w:val="Hyperlink"/>
          </w:rPr>
          <w:t>Step 4: Determine a Sampling Rate and Select a Sample for Each HHA</w:t>
        </w:r>
        <w:r>
          <w:rPr>
            <w:webHidden/>
          </w:rPr>
          <w:tab/>
        </w:r>
        <w:r>
          <w:rPr>
            <w:webHidden/>
          </w:rPr>
          <w:fldChar w:fldCharType="begin"/>
        </w:r>
        <w:r>
          <w:rPr>
            <w:webHidden/>
          </w:rPr>
          <w:instrText xml:space="preserve"> PAGEREF _Toc217305572 \h </w:instrText>
        </w:r>
        <w:r>
          <w:rPr>
            <w:webHidden/>
          </w:rPr>
        </w:r>
        <w:r>
          <w:rPr>
            <w:webHidden/>
          </w:rPr>
          <w:fldChar w:fldCharType="separate"/>
        </w:r>
        <w:r>
          <w:rPr>
            <w:webHidden/>
          </w:rPr>
          <w:t>29</w:t>
        </w:r>
        <w:r>
          <w:rPr>
            <w:webHidden/>
          </w:rPr>
          <w:fldChar w:fldCharType="end"/>
        </w:r>
      </w:hyperlink>
    </w:p>
    <w:p w14:paraId="6806898E" w14:textId="377BF427"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3" w:history="1">
        <w:r w:rsidRPr="008E0E8A">
          <w:rPr>
            <w:rStyle w:val="Hyperlink"/>
          </w:rPr>
          <w:t>4.7</w:t>
        </w:r>
        <w:r>
          <w:rPr>
            <w:rFonts w:asciiTheme="minorHAnsi" w:eastAsiaTheme="minorEastAsia" w:hAnsiTheme="minorHAnsi" w:cstheme="minorBidi"/>
            <w:kern w:val="2"/>
            <w:sz w:val="24"/>
            <w14:ligatures w14:val="standardContextual"/>
          </w:rPr>
          <w:tab/>
        </w:r>
        <w:r w:rsidRPr="008E0E8A">
          <w:rPr>
            <w:rStyle w:val="Hyperlink"/>
          </w:rPr>
          <w:t>Step 5: Verify or Update Sample Contact Information</w:t>
        </w:r>
        <w:r>
          <w:rPr>
            <w:webHidden/>
          </w:rPr>
          <w:tab/>
        </w:r>
        <w:r>
          <w:rPr>
            <w:webHidden/>
          </w:rPr>
          <w:fldChar w:fldCharType="begin"/>
        </w:r>
        <w:r>
          <w:rPr>
            <w:webHidden/>
          </w:rPr>
          <w:instrText xml:space="preserve"> PAGEREF _Toc217305573 \h </w:instrText>
        </w:r>
        <w:r>
          <w:rPr>
            <w:webHidden/>
          </w:rPr>
        </w:r>
        <w:r>
          <w:rPr>
            <w:webHidden/>
          </w:rPr>
          <w:fldChar w:fldCharType="separate"/>
        </w:r>
        <w:r>
          <w:rPr>
            <w:webHidden/>
          </w:rPr>
          <w:t>37</w:t>
        </w:r>
        <w:r>
          <w:rPr>
            <w:webHidden/>
          </w:rPr>
          <w:fldChar w:fldCharType="end"/>
        </w:r>
      </w:hyperlink>
    </w:p>
    <w:p w14:paraId="5DD7EE37" w14:textId="4696AB8D"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4" w:history="1">
        <w:r w:rsidRPr="008E0E8A">
          <w:rPr>
            <w:rStyle w:val="Hyperlink"/>
          </w:rPr>
          <w:t>4.8</w:t>
        </w:r>
        <w:r>
          <w:rPr>
            <w:rFonts w:asciiTheme="minorHAnsi" w:eastAsiaTheme="minorEastAsia" w:hAnsiTheme="minorHAnsi" w:cstheme="minorBidi"/>
            <w:kern w:val="2"/>
            <w:sz w:val="24"/>
            <w14:ligatures w14:val="standardContextual"/>
          </w:rPr>
          <w:tab/>
        </w:r>
        <w:r w:rsidRPr="008E0E8A">
          <w:rPr>
            <w:rStyle w:val="Hyperlink"/>
          </w:rPr>
          <w:t>Step 6: Assign Unique Sample Identification Numbers</w:t>
        </w:r>
        <w:r>
          <w:rPr>
            <w:webHidden/>
          </w:rPr>
          <w:tab/>
        </w:r>
        <w:r>
          <w:rPr>
            <w:webHidden/>
          </w:rPr>
          <w:fldChar w:fldCharType="begin"/>
        </w:r>
        <w:r>
          <w:rPr>
            <w:webHidden/>
          </w:rPr>
          <w:instrText xml:space="preserve"> PAGEREF _Toc217305574 \h </w:instrText>
        </w:r>
        <w:r>
          <w:rPr>
            <w:webHidden/>
          </w:rPr>
        </w:r>
        <w:r>
          <w:rPr>
            <w:webHidden/>
          </w:rPr>
          <w:fldChar w:fldCharType="separate"/>
        </w:r>
        <w:r>
          <w:rPr>
            <w:webHidden/>
          </w:rPr>
          <w:t>38</w:t>
        </w:r>
        <w:r>
          <w:rPr>
            <w:webHidden/>
          </w:rPr>
          <w:fldChar w:fldCharType="end"/>
        </w:r>
      </w:hyperlink>
    </w:p>
    <w:p w14:paraId="3FDAA7D2" w14:textId="2B240FF0"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5" w:history="1">
        <w:r w:rsidRPr="008E0E8A">
          <w:rPr>
            <w:rStyle w:val="Hyperlink"/>
          </w:rPr>
          <w:t>4.9</w:t>
        </w:r>
        <w:r>
          <w:rPr>
            <w:rFonts w:asciiTheme="minorHAnsi" w:eastAsiaTheme="minorEastAsia" w:hAnsiTheme="minorHAnsi" w:cstheme="minorBidi"/>
            <w:kern w:val="2"/>
            <w:sz w:val="24"/>
            <w14:ligatures w14:val="standardContextual"/>
          </w:rPr>
          <w:tab/>
        </w:r>
        <w:r w:rsidRPr="008E0E8A">
          <w:rPr>
            <w:rStyle w:val="Hyperlink"/>
          </w:rPr>
          <w:t>Step 7: Finalize the Monthly Sample File and Initiate Data Collection Activities</w:t>
        </w:r>
        <w:r>
          <w:rPr>
            <w:webHidden/>
          </w:rPr>
          <w:tab/>
        </w:r>
        <w:r>
          <w:rPr>
            <w:webHidden/>
          </w:rPr>
          <w:fldChar w:fldCharType="begin"/>
        </w:r>
        <w:r>
          <w:rPr>
            <w:webHidden/>
          </w:rPr>
          <w:instrText xml:space="preserve"> PAGEREF _Toc217305575 \h </w:instrText>
        </w:r>
        <w:r>
          <w:rPr>
            <w:webHidden/>
          </w:rPr>
        </w:r>
        <w:r>
          <w:rPr>
            <w:webHidden/>
          </w:rPr>
          <w:fldChar w:fldCharType="separate"/>
        </w:r>
        <w:r>
          <w:rPr>
            <w:webHidden/>
          </w:rPr>
          <w:t>38</w:t>
        </w:r>
        <w:r>
          <w:rPr>
            <w:webHidden/>
          </w:rPr>
          <w:fldChar w:fldCharType="end"/>
        </w:r>
      </w:hyperlink>
    </w:p>
    <w:p w14:paraId="4264F616" w14:textId="588032D2"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576" w:history="1">
        <w:r w:rsidRPr="008E0E8A">
          <w:rPr>
            <w:rStyle w:val="Hyperlink"/>
          </w:rPr>
          <w:t>4.10</w:t>
        </w:r>
        <w:r>
          <w:rPr>
            <w:rFonts w:asciiTheme="minorHAnsi" w:eastAsiaTheme="minorEastAsia" w:hAnsiTheme="minorHAnsi" w:cstheme="minorBidi"/>
            <w:kern w:val="2"/>
            <w:sz w:val="24"/>
            <w14:ligatures w14:val="standardContextual"/>
          </w:rPr>
          <w:tab/>
        </w:r>
        <w:r w:rsidRPr="008E0E8A">
          <w:rPr>
            <w:rStyle w:val="Hyperlink"/>
          </w:rPr>
          <w:t>Sampling Issues for Quality Assurance</w:t>
        </w:r>
        <w:r>
          <w:rPr>
            <w:webHidden/>
          </w:rPr>
          <w:tab/>
        </w:r>
        <w:r>
          <w:rPr>
            <w:webHidden/>
          </w:rPr>
          <w:fldChar w:fldCharType="begin"/>
        </w:r>
        <w:r>
          <w:rPr>
            <w:webHidden/>
          </w:rPr>
          <w:instrText xml:space="preserve"> PAGEREF _Toc217305576 \h </w:instrText>
        </w:r>
        <w:r>
          <w:rPr>
            <w:webHidden/>
          </w:rPr>
        </w:r>
        <w:r>
          <w:rPr>
            <w:webHidden/>
          </w:rPr>
          <w:fldChar w:fldCharType="separate"/>
        </w:r>
        <w:r>
          <w:rPr>
            <w:webHidden/>
          </w:rPr>
          <w:t>39</w:t>
        </w:r>
        <w:r>
          <w:rPr>
            <w:webHidden/>
          </w:rPr>
          <w:fldChar w:fldCharType="end"/>
        </w:r>
      </w:hyperlink>
    </w:p>
    <w:p w14:paraId="364178D1" w14:textId="74856204"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77" w:history="1">
        <w:r w:rsidRPr="008E0E8A">
          <w:rPr>
            <w:rStyle w:val="Hyperlink"/>
          </w:rPr>
          <w:t>Chapter 5: Mail-Only Administration Procedures</w:t>
        </w:r>
        <w:r>
          <w:rPr>
            <w:webHidden/>
          </w:rPr>
          <w:tab/>
        </w:r>
        <w:r>
          <w:rPr>
            <w:webHidden/>
          </w:rPr>
          <w:fldChar w:fldCharType="begin"/>
        </w:r>
        <w:r>
          <w:rPr>
            <w:webHidden/>
          </w:rPr>
          <w:instrText xml:space="preserve"> PAGEREF _Toc217305577 \h </w:instrText>
        </w:r>
        <w:r>
          <w:rPr>
            <w:webHidden/>
          </w:rPr>
        </w:r>
        <w:r>
          <w:rPr>
            <w:webHidden/>
          </w:rPr>
          <w:fldChar w:fldCharType="separate"/>
        </w:r>
        <w:r>
          <w:rPr>
            <w:webHidden/>
          </w:rPr>
          <w:t>45</w:t>
        </w:r>
        <w:r>
          <w:rPr>
            <w:webHidden/>
          </w:rPr>
          <w:fldChar w:fldCharType="end"/>
        </w:r>
      </w:hyperlink>
    </w:p>
    <w:p w14:paraId="08C4C711" w14:textId="185449FC"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8" w:history="1">
        <w:r w:rsidRPr="008E0E8A">
          <w:rPr>
            <w:rStyle w:val="Hyperlink"/>
          </w:rPr>
          <w:t>5.1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_Toc217305578 \h </w:instrText>
        </w:r>
        <w:r>
          <w:rPr>
            <w:webHidden/>
          </w:rPr>
        </w:r>
        <w:r>
          <w:rPr>
            <w:webHidden/>
          </w:rPr>
          <w:fldChar w:fldCharType="separate"/>
        </w:r>
        <w:r>
          <w:rPr>
            <w:webHidden/>
          </w:rPr>
          <w:t>45</w:t>
        </w:r>
        <w:r>
          <w:rPr>
            <w:webHidden/>
          </w:rPr>
          <w:fldChar w:fldCharType="end"/>
        </w:r>
      </w:hyperlink>
    </w:p>
    <w:p w14:paraId="00158230" w14:textId="4519B1C0"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79" w:history="1">
        <w:r w:rsidRPr="008E0E8A">
          <w:rPr>
            <w:rStyle w:val="Hyperlink"/>
          </w:rPr>
          <w:t>5.2</w:t>
        </w:r>
        <w:r>
          <w:rPr>
            <w:rFonts w:asciiTheme="minorHAnsi" w:eastAsiaTheme="minorEastAsia" w:hAnsiTheme="minorHAnsi" w:cstheme="minorBidi"/>
            <w:kern w:val="2"/>
            <w:sz w:val="24"/>
            <w14:ligatures w14:val="standardContextual"/>
          </w:rPr>
          <w:tab/>
        </w:r>
        <w:r w:rsidRPr="008E0E8A">
          <w:rPr>
            <w:rStyle w:val="Hyperlink"/>
          </w:rPr>
          <w:t>Data Collection Schedule</w:t>
        </w:r>
        <w:r>
          <w:rPr>
            <w:webHidden/>
          </w:rPr>
          <w:tab/>
        </w:r>
        <w:r>
          <w:rPr>
            <w:webHidden/>
          </w:rPr>
          <w:fldChar w:fldCharType="begin"/>
        </w:r>
        <w:r>
          <w:rPr>
            <w:webHidden/>
          </w:rPr>
          <w:instrText xml:space="preserve"> PAGEREF _Toc217305579 \h </w:instrText>
        </w:r>
        <w:r>
          <w:rPr>
            <w:webHidden/>
          </w:rPr>
        </w:r>
        <w:r>
          <w:rPr>
            <w:webHidden/>
          </w:rPr>
          <w:fldChar w:fldCharType="separate"/>
        </w:r>
        <w:r>
          <w:rPr>
            <w:webHidden/>
          </w:rPr>
          <w:t>45</w:t>
        </w:r>
        <w:r>
          <w:rPr>
            <w:webHidden/>
          </w:rPr>
          <w:fldChar w:fldCharType="end"/>
        </w:r>
      </w:hyperlink>
    </w:p>
    <w:p w14:paraId="543028F4" w14:textId="6F18AB09"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0" w:history="1">
        <w:r w:rsidRPr="008E0E8A">
          <w:rPr>
            <w:rStyle w:val="Hyperlink"/>
          </w:rPr>
          <w:t>5.3</w:t>
        </w:r>
        <w:r>
          <w:rPr>
            <w:rFonts w:asciiTheme="minorHAnsi" w:eastAsiaTheme="minorEastAsia" w:hAnsiTheme="minorHAnsi" w:cstheme="minorBidi"/>
            <w:kern w:val="2"/>
            <w:sz w:val="24"/>
            <w14:ligatures w14:val="standardContextual"/>
          </w:rPr>
          <w:tab/>
        </w:r>
        <w:r w:rsidRPr="008E0E8A">
          <w:rPr>
            <w:rStyle w:val="Hyperlink"/>
          </w:rPr>
          <w:t>Production of Questionnaires, Letters, and Envelopes</w:t>
        </w:r>
        <w:r>
          <w:rPr>
            <w:webHidden/>
          </w:rPr>
          <w:tab/>
        </w:r>
        <w:r>
          <w:rPr>
            <w:webHidden/>
          </w:rPr>
          <w:fldChar w:fldCharType="begin"/>
        </w:r>
        <w:r>
          <w:rPr>
            <w:webHidden/>
          </w:rPr>
          <w:instrText xml:space="preserve"> PAGEREF _Toc217305580 \h </w:instrText>
        </w:r>
        <w:r>
          <w:rPr>
            <w:webHidden/>
          </w:rPr>
        </w:r>
        <w:r>
          <w:rPr>
            <w:webHidden/>
          </w:rPr>
          <w:fldChar w:fldCharType="separate"/>
        </w:r>
        <w:r>
          <w:rPr>
            <w:webHidden/>
          </w:rPr>
          <w:t>46</w:t>
        </w:r>
        <w:r>
          <w:rPr>
            <w:webHidden/>
          </w:rPr>
          <w:fldChar w:fldCharType="end"/>
        </w:r>
      </w:hyperlink>
    </w:p>
    <w:p w14:paraId="569FF75A" w14:textId="094F66BF"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1" w:history="1">
        <w:r w:rsidRPr="008E0E8A">
          <w:rPr>
            <w:rStyle w:val="Hyperlink"/>
          </w:rPr>
          <w:t>5.4</w:t>
        </w:r>
        <w:r>
          <w:rPr>
            <w:rFonts w:asciiTheme="minorHAnsi" w:eastAsiaTheme="minorEastAsia" w:hAnsiTheme="minorHAnsi" w:cstheme="minorBidi"/>
            <w:kern w:val="2"/>
            <w:sz w:val="24"/>
            <w14:ligatures w14:val="standardContextual"/>
          </w:rPr>
          <w:tab/>
        </w:r>
        <w:r w:rsidRPr="008E0E8A">
          <w:rPr>
            <w:rStyle w:val="Hyperlink"/>
          </w:rPr>
          <w:t>Survey Mailing Requirements</w:t>
        </w:r>
        <w:r>
          <w:rPr>
            <w:webHidden/>
          </w:rPr>
          <w:tab/>
        </w:r>
        <w:r>
          <w:rPr>
            <w:webHidden/>
          </w:rPr>
          <w:fldChar w:fldCharType="begin"/>
        </w:r>
        <w:r>
          <w:rPr>
            <w:webHidden/>
          </w:rPr>
          <w:instrText xml:space="preserve"> PAGEREF _Toc217305581 \h </w:instrText>
        </w:r>
        <w:r>
          <w:rPr>
            <w:webHidden/>
          </w:rPr>
        </w:r>
        <w:r>
          <w:rPr>
            <w:webHidden/>
          </w:rPr>
          <w:fldChar w:fldCharType="separate"/>
        </w:r>
        <w:r>
          <w:rPr>
            <w:webHidden/>
          </w:rPr>
          <w:t>51</w:t>
        </w:r>
        <w:r>
          <w:rPr>
            <w:webHidden/>
          </w:rPr>
          <w:fldChar w:fldCharType="end"/>
        </w:r>
      </w:hyperlink>
    </w:p>
    <w:p w14:paraId="51E10F96" w14:textId="0B6FBC5F"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2" w:history="1">
        <w:r w:rsidRPr="008E0E8A">
          <w:rPr>
            <w:rStyle w:val="Hyperlink"/>
          </w:rPr>
          <w:t>5.5</w:t>
        </w:r>
        <w:r>
          <w:rPr>
            <w:rFonts w:asciiTheme="minorHAnsi" w:eastAsiaTheme="minorEastAsia" w:hAnsiTheme="minorHAnsi" w:cstheme="minorBidi"/>
            <w:kern w:val="2"/>
            <w:sz w:val="24"/>
            <w14:ligatures w14:val="standardContextual"/>
          </w:rPr>
          <w:tab/>
        </w:r>
        <w:r w:rsidRPr="008E0E8A">
          <w:rPr>
            <w:rStyle w:val="Hyperlink"/>
          </w:rPr>
          <w:t>Data Receipt and Data Entry Requirements</w:t>
        </w:r>
        <w:r>
          <w:rPr>
            <w:webHidden/>
          </w:rPr>
          <w:tab/>
        </w:r>
        <w:r>
          <w:rPr>
            <w:webHidden/>
          </w:rPr>
          <w:fldChar w:fldCharType="begin"/>
        </w:r>
        <w:r>
          <w:rPr>
            <w:webHidden/>
          </w:rPr>
          <w:instrText xml:space="preserve"> PAGEREF _Toc217305582 \h </w:instrText>
        </w:r>
        <w:r>
          <w:rPr>
            <w:webHidden/>
          </w:rPr>
        </w:r>
        <w:r>
          <w:rPr>
            <w:webHidden/>
          </w:rPr>
          <w:fldChar w:fldCharType="separate"/>
        </w:r>
        <w:r>
          <w:rPr>
            <w:webHidden/>
          </w:rPr>
          <w:t>52</w:t>
        </w:r>
        <w:r>
          <w:rPr>
            <w:webHidden/>
          </w:rPr>
          <w:fldChar w:fldCharType="end"/>
        </w:r>
      </w:hyperlink>
    </w:p>
    <w:p w14:paraId="421FC9CE" w14:textId="69D06752"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3" w:history="1">
        <w:r w:rsidRPr="008E0E8A">
          <w:rPr>
            <w:rStyle w:val="Hyperlink"/>
          </w:rPr>
          <w:t>5.6</w:t>
        </w:r>
        <w:r>
          <w:rPr>
            <w:rFonts w:asciiTheme="minorHAnsi" w:eastAsiaTheme="minorEastAsia" w:hAnsiTheme="minorHAnsi" w:cstheme="minorBidi"/>
            <w:kern w:val="2"/>
            <w:sz w:val="24"/>
            <w14:ligatures w14:val="standardContextual"/>
          </w:rPr>
          <w:tab/>
        </w:r>
        <w:r w:rsidRPr="008E0E8A">
          <w:rPr>
            <w:rStyle w:val="Hyperlink"/>
          </w:rPr>
          <w:t>Staff Training</w:t>
        </w:r>
        <w:r>
          <w:rPr>
            <w:webHidden/>
          </w:rPr>
          <w:tab/>
        </w:r>
        <w:r>
          <w:rPr>
            <w:webHidden/>
          </w:rPr>
          <w:fldChar w:fldCharType="begin"/>
        </w:r>
        <w:r>
          <w:rPr>
            <w:webHidden/>
          </w:rPr>
          <w:instrText xml:space="preserve"> PAGEREF _Toc217305583 \h </w:instrText>
        </w:r>
        <w:r>
          <w:rPr>
            <w:webHidden/>
          </w:rPr>
        </w:r>
        <w:r>
          <w:rPr>
            <w:webHidden/>
          </w:rPr>
          <w:fldChar w:fldCharType="separate"/>
        </w:r>
        <w:r>
          <w:rPr>
            <w:webHidden/>
          </w:rPr>
          <w:t>54</w:t>
        </w:r>
        <w:r>
          <w:rPr>
            <w:webHidden/>
          </w:rPr>
          <w:fldChar w:fldCharType="end"/>
        </w:r>
      </w:hyperlink>
    </w:p>
    <w:p w14:paraId="588DB548" w14:textId="14405863"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4" w:history="1">
        <w:r w:rsidRPr="008E0E8A">
          <w:rPr>
            <w:rStyle w:val="Hyperlink"/>
          </w:rPr>
          <w:t>5.7</w:t>
        </w:r>
        <w:r>
          <w:rPr>
            <w:rFonts w:asciiTheme="minorHAnsi" w:eastAsiaTheme="minorEastAsia" w:hAnsiTheme="minorHAnsi" w:cstheme="minorBidi"/>
            <w:kern w:val="2"/>
            <w:sz w:val="24"/>
            <w14:ligatures w14:val="standardContextual"/>
          </w:rPr>
          <w:tab/>
        </w:r>
        <w:r w:rsidRPr="008E0E8A">
          <w:rPr>
            <w:rStyle w:val="Hyperlink"/>
          </w:rPr>
          <w:t>Mail-Only Quality Control Guidelines</w:t>
        </w:r>
        <w:r>
          <w:rPr>
            <w:webHidden/>
          </w:rPr>
          <w:tab/>
        </w:r>
        <w:r>
          <w:rPr>
            <w:webHidden/>
          </w:rPr>
          <w:fldChar w:fldCharType="begin"/>
        </w:r>
        <w:r>
          <w:rPr>
            <w:webHidden/>
          </w:rPr>
          <w:instrText xml:space="preserve"> PAGEREF _Toc217305584 \h </w:instrText>
        </w:r>
        <w:r>
          <w:rPr>
            <w:webHidden/>
          </w:rPr>
        </w:r>
        <w:r>
          <w:rPr>
            <w:webHidden/>
          </w:rPr>
          <w:fldChar w:fldCharType="separate"/>
        </w:r>
        <w:r>
          <w:rPr>
            <w:webHidden/>
          </w:rPr>
          <w:t>55</w:t>
        </w:r>
        <w:r>
          <w:rPr>
            <w:webHidden/>
          </w:rPr>
          <w:fldChar w:fldCharType="end"/>
        </w:r>
      </w:hyperlink>
    </w:p>
    <w:p w14:paraId="4F707601" w14:textId="0E2639CC"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85" w:history="1">
        <w:r w:rsidRPr="008E0E8A">
          <w:rPr>
            <w:rStyle w:val="Hyperlink"/>
          </w:rPr>
          <w:t>Chapter 6: Telephone-Only Administration Procedures</w:t>
        </w:r>
        <w:r>
          <w:rPr>
            <w:webHidden/>
          </w:rPr>
          <w:tab/>
        </w:r>
        <w:r>
          <w:rPr>
            <w:webHidden/>
          </w:rPr>
          <w:fldChar w:fldCharType="begin"/>
        </w:r>
        <w:r>
          <w:rPr>
            <w:webHidden/>
          </w:rPr>
          <w:instrText xml:space="preserve"> PAGEREF _Toc217305585 \h </w:instrText>
        </w:r>
        <w:r>
          <w:rPr>
            <w:webHidden/>
          </w:rPr>
        </w:r>
        <w:r>
          <w:rPr>
            <w:webHidden/>
          </w:rPr>
          <w:fldChar w:fldCharType="separate"/>
        </w:r>
        <w:r>
          <w:rPr>
            <w:webHidden/>
          </w:rPr>
          <w:t>57</w:t>
        </w:r>
        <w:r>
          <w:rPr>
            <w:webHidden/>
          </w:rPr>
          <w:fldChar w:fldCharType="end"/>
        </w:r>
      </w:hyperlink>
    </w:p>
    <w:p w14:paraId="286BDEF4" w14:textId="02A5749E"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6" w:history="1">
        <w:r w:rsidRPr="008E0E8A">
          <w:rPr>
            <w:rStyle w:val="Hyperlink"/>
          </w:rPr>
          <w:t>6.1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_Toc217305586 \h </w:instrText>
        </w:r>
        <w:r>
          <w:rPr>
            <w:webHidden/>
          </w:rPr>
        </w:r>
        <w:r>
          <w:rPr>
            <w:webHidden/>
          </w:rPr>
          <w:fldChar w:fldCharType="separate"/>
        </w:r>
        <w:r>
          <w:rPr>
            <w:webHidden/>
          </w:rPr>
          <w:t>57</w:t>
        </w:r>
        <w:r>
          <w:rPr>
            <w:webHidden/>
          </w:rPr>
          <w:fldChar w:fldCharType="end"/>
        </w:r>
      </w:hyperlink>
    </w:p>
    <w:p w14:paraId="4D550145" w14:textId="0637C3FD"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7" w:history="1">
        <w:r w:rsidRPr="008E0E8A">
          <w:rPr>
            <w:rStyle w:val="Hyperlink"/>
          </w:rPr>
          <w:t>6.2</w:t>
        </w:r>
        <w:r>
          <w:rPr>
            <w:rFonts w:asciiTheme="minorHAnsi" w:eastAsiaTheme="minorEastAsia" w:hAnsiTheme="minorHAnsi" w:cstheme="minorBidi"/>
            <w:kern w:val="2"/>
            <w:sz w:val="24"/>
            <w14:ligatures w14:val="standardContextual"/>
          </w:rPr>
          <w:tab/>
        </w:r>
        <w:r w:rsidRPr="008E0E8A">
          <w:rPr>
            <w:rStyle w:val="Hyperlink"/>
          </w:rPr>
          <w:t>Data Collection Schedule</w:t>
        </w:r>
        <w:r>
          <w:rPr>
            <w:webHidden/>
          </w:rPr>
          <w:tab/>
        </w:r>
        <w:r>
          <w:rPr>
            <w:webHidden/>
          </w:rPr>
          <w:fldChar w:fldCharType="begin"/>
        </w:r>
        <w:r>
          <w:rPr>
            <w:webHidden/>
          </w:rPr>
          <w:instrText xml:space="preserve"> PAGEREF _Toc217305587 \h </w:instrText>
        </w:r>
        <w:r>
          <w:rPr>
            <w:webHidden/>
          </w:rPr>
        </w:r>
        <w:r>
          <w:rPr>
            <w:webHidden/>
          </w:rPr>
          <w:fldChar w:fldCharType="separate"/>
        </w:r>
        <w:r>
          <w:rPr>
            <w:webHidden/>
          </w:rPr>
          <w:t>57</w:t>
        </w:r>
        <w:r>
          <w:rPr>
            <w:webHidden/>
          </w:rPr>
          <w:fldChar w:fldCharType="end"/>
        </w:r>
      </w:hyperlink>
    </w:p>
    <w:p w14:paraId="511E8A9C" w14:textId="3795C0F6"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8" w:history="1">
        <w:r w:rsidRPr="008E0E8A">
          <w:rPr>
            <w:rStyle w:val="Hyperlink"/>
          </w:rPr>
          <w:t>6.3</w:t>
        </w:r>
        <w:r>
          <w:rPr>
            <w:rFonts w:asciiTheme="minorHAnsi" w:eastAsiaTheme="minorEastAsia" w:hAnsiTheme="minorHAnsi" w:cstheme="minorBidi"/>
            <w:kern w:val="2"/>
            <w:sz w:val="24"/>
            <w14:ligatures w14:val="standardContextual"/>
          </w:rPr>
          <w:tab/>
        </w:r>
        <w:r w:rsidRPr="008E0E8A">
          <w:rPr>
            <w:rStyle w:val="Hyperlink"/>
          </w:rPr>
          <w:t>Telephone Instrument and Systems Requirements</w:t>
        </w:r>
        <w:r>
          <w:rPr>
            <w:webHidden/>
          </w:rPr>
          <w:tab/>
        </w:r>
        <w:r>
          <w:rPr>
            <w:webHidden/>
          </w:rPr>
          <w:fldChar w:fldCharType="begin"/>
        </w:r>
        <w:r>
          <w:rPr>
            <w:webHidden/>
          </w:rPr>
          <w:instrText xml:space="preserve"> PAGEREF _Toc217305588 \h </w:instrText>
        </w:r>
        <w:r>
          <w:rPr>
            <w:webHidden/>
          </w:rPr>
        </w:r>
        <w:r>
          <w:rPr>
            <w:webHidden/>
          </w:rPr>
          <w:fldChar w:fldCharType="separate"/>
        </w:r>
        <w:r>
          <w:rPr>
            <w:webHidden/>
          </w:rPr>
          <w:t>58</w:t>
        </w:r>
        <w:r>
          <w:rPr>
            <w:webHidden/>
          </w:rPr>
          <w:fldChar w:fldCharType="end"/>
        </w:r>
      </w:hyperlink>
    </w:p>
    <w:p w14:paraId="1BB854A5" w14:textId="30659A3E"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89" w:history="1">
        <w:r w:rsidRPr="008E0E8A">
          <w:rPr>
            <w:rStyle w:val="Hyperlink"/>
          </w:rPr>
          <w:t>6.4</w:t>
        </w:r>
        <w:r>
          <w:rPr>
            <w:rFonts w:asciiTheme="minorHAnsi" w:eastAsiaTheme="minorEastAsia" w:hAnsiTheme="minorHAnsi" w:cstheme="minorBidi"/>
            <w:kern w:val="2"/>
            <w:sz w:val="24"/>
            <w14:ligatures w14:val="standardContextual"/>
          </w:rPr>
          <w:tab/>
        </w:r>
        <w:r w:rsidRPr="008E0E8A">
          <w:rPr>
            <w:rStyle w:val="Hyperlink"/>
          </w:rPr>
          <w:t>Telephone Interviewing Requirements</w:t>
        </w:r>
        <w:r>
          <w:rPr>
            <w:webHidden/>
          </w:rPr>
          <w:tab/>
        </w:r>
        <w:r>
          <w:rPr>
            <w:webHidden/>
          </w:rPr>
          <w:fldChar w:fldCharType="begin"/>
        </w:r>
        <w:r>
          <w:rPr>
            <w:webHidden/>
          </w:rPr>
          <w:instrText xml:space="preserve"> PAGEREF _Toc217305589 \h </w:instrText>
        </w:r>
        <w:r>
          <w:rPr>
            <w:webHidden/>
          </w:rPr>
        </w:r>
        <w:r>
          <w:rPr>
            <w:webHidden/>
          </w:rPr>
          <w:fldChar w:fldCharType="separate"/>
        </w:r>
        <w:r>
          <w:rPr>
            <w:webHidden/>
          </w:rPr>
          <w:t>62</w:t>
        </w:r>
        <w:r>
          <w:rPr>
            <w:webHidden/>
          </w:rPr>
          <w:fldChar w:fldCharType="end"/>
        </w:r>
      </w:hyperlink>
    </w:p>
    <w:p w14:paraId="09940CD8" w14:textId="0E508299"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0" w:history="1">
        <w:r w:rsidRPr="008E0E8A">
          <w:rPr>
            <w:rStyle w:val="Hyperlink"/>
          </w:rPr>
          <w:t>6.5</w:t>
        </w:r>
        <w:r>
          <w:rPr>
            <w:rFonts w:asciiTheme="minorHAnsi" w:eastAsiaTheme="minorEastAsia" w:hAnsiTheme="minorHAnsi" w:cstheme="minorBidi"/>
            <w:kern w:val="2"/>
            <w:sz w:val="24"/>
            <w14:ligatures w14:val="standardContextual"/>
          </w:rPr>
          <w:tab/>
        </w:r>
        <w:r w:rsidRPr="008E0E8A">
          <w:rPr>
            <w:rStyle w:val="Hyperlink"/>
          </w:rPr>
          <w:t>Telephone Interviewer Training</w:t>
        </w:r>
        <w:r>
          <w:rPr>
            <w:webHidden/>
          </w:rPr>
          <w:tab/>
        </w:r>
        <w:r>
          <w:rPr>
            <w:webHidden/>
          </w:rPr>
          <w:fldChar w:fldCharType="begin"/>
        </w:r>
        <w:r>
          <w:rPr>
            <w:webHidden/>
          </w:rPr>
          <w:instrText xml:space="preserve"> PAGEREF _Toc217305590 \h </w:instrText>
        </w:r>
        <w:r>
          <w:rPr>
            <w:webHidden/>
          </w:rPr>
        </w:r>
        <w:r>
          <w:rPr>
            <w:webHidden/>
          </w:rPr>
          <w:fldChar w:fldCharType="separate"/>
        </w:r>
        <w:r>
          <w:rPr>
            <w:webHidden/>
          </w:rPr>
          <w:t>65</w:t>
        </w:r>
        <w:r>
          <w:rPr>
            <w:webHidden/>
          </w:rPr>
          <w:fldChar w:fldCharType="end"/>
        </w:r>
      </w:hyperlink>
    </w:p>
    <w:p w14:paraId="0FBD7837" w14:textId="0E13FE1E"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1" w:history="1">
        <w:r w:rsidRPr="008E0E8A">
          <w:rPr>
            <w:rStyle w:val="Hyperlink"/>
          </w:rPr>
          <w:t>6.6</w:t>
        </w:r>
        <w:r>
          <w:rPr>
            <w:rFonts w:asciiTheme="minorHAnsi" w:eastAsiaTheme="minorEastAsia" w:hAnsiTheme="minorHAnsi" w:cstheme="minorBidi"/>
            <w:kern w:val="2"/>
            <w:sz w:val="24"/>
            <w14:ligatures w14:val="standardContextual"/>
          </w:rPr>
          <w:tab/>
        </w:r>
        <w:r w:rsidRPr="008E0E8A">
          <w:rPr>
            <w:rStyle w:val="Hyperlink"/>
          </w:rPr>
          <w:t>Distressed Respondent Procedures</w:t>
        </w:r>
        <w:r>
          <w:rPr>
            <w:webHidden/>
          </w:rPr>
          <w:tab/>
        </w:r>
        <w:r>
          <w:rPr>
            <w:webHidden/>
          </w:rPr>
          <w:fldChar w:fldCharType="begin"/>
        </w:r>
        <w:r>
          <w:rPr>
            <w:webHidden/>
          </w:rPr>
          <w:instrText xml:space="preserve"> PAGEREF _Toc217305591 \h </w:instrText>
        </w:r>
        <w:r>
          <w:rPr>
            <w:webHidden/>
          </w:rPr>
        </w:r>
        <w:r>
          <w:rPr>
            <w:webHidden/>
          </w:rPr>
          <w:fldChar w:fldCharType="separate"/>
        </w:r>
        <w:r>
          <w:rPr>
            <w:webHidden/>
          </w:rPr>
          <w:t>66</w:t>
        </w:r>
        <w:r>
          <w:rPr>
            <w:webHidden/>
          </w:rPr>
          <w:fldChar w:fldCharType="end"/>
        </w:r>
      </w:hyperlink>
    </w:p>
    <w:p w14:paraId="72B97CDE" w14:textId="7133408B"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2" w:history="1">
        <w:r w:rsidRPr="008E0E8A">
          <w:rPr>
            <w:rStyle w:val="Hyperlink"/>
          </w:rPr>
          <w:t>6.7</w:t>
        </w:r>
        <w:r>
          <w:rPr>
            <w:rFonts w:asciiTheme="minorHAnsi" w:eastAsiaTheme="minorEastAsia" w:hAnsiTheme="minorHAnsi" w:cstheme="minorBidi"/>
            <w:kern w:val="2"/>
            <w:sz w:val="24"/>
            <w14:ligatures w14:val="standardContextual"/>
          </w:rPr>
          <w:tab/>
        </w:r>
        <w:r w:rsidRPr="008E0E8A">
          <w:rPr>
            <w:rStyle w:val="Hyperlink"/>
          </w:rPr>
          <w:t>Telephone Data Processing Procedures</w:t>
        </w:r>
        <w:r>
          <w:rPr>
            <w:webHidden/>
          </w:rPr>
          <w:tab/>
        </w:r>
        <w:r>
          <w:rPr>
            <w:webHidden/>
          </w:rPr>
          <w:fldChar w:fldCharType="begin"/>
        </w:r>
        <w:r>
          <w:rPr>
            <w:webHidden/>
          </w:rPr>
          <w:instrText xml:space="preserve"> PAGEREF _Toc217305592 \h </w:instrText>
        </w:r>
        <w:r>
          <w:rPr>
            <w:webHidden/>
          </w:rPr>
        </w:r>
        <w:r>
          <w:rPr>
            <w:webHidden/>
          </w:rPr>
          <w:fldChar w:fldCharType="separate"/>
        </w:r>
        <w:r>
          <w:rPr>
            <w:webHidden/>
          </w:rPr>
          <w:t>67</w:t>
        </w:r>
        <w:r>
          <w:rPr>
            <w:webHidden/>
          </w:rPr>
          <w:fldChar w:fldCharType="end"/>
        </w:r>
      </w:hyperlink>
    </w:p>
    <w:p w14:paraId="50F834E7" w14:textId="4E7948B7"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3" w:history="1">
        <w:r w:rsidRPr="008E0E8A">
          <w:rPr>
            <w:rStyle w:val="Hyperlink"/>
          </w:rPr>
          <w:t>6.8</w:t>
        </w:r>
        <w:r>
          <w:rPr>
            <w:rFonts w:asciiTheme="minorHAnsi" w:eastAsiaTheme="minorEastAsia" w:hAnsiTheme="minorHAnsi" w:cstheme="minorBidi"/>
            <w:kern w:val="2"/>
            <w:sz w:val="24"/>
            <w14:ligatures w14:val="standardContextual"/>
          </w:rPr>
          <w:tab/>
        </w:r>
        <w:r w:rsidRPr="008E0E8A">
          <w:rPr>
            <w:rStyle w:val="Hyperlink"/>
          </w:rPr>
          <w:t>Telephone-Only Quality Control Guidelines</w:t>
        </w:r>
        <w:r>
          <w:rPr>
            <w:webHidden/>
          </w:rPr>
          <w:tab/>
        </w:r>
        <w:r>
          <w:rPr>
            <w:webHidden/>
          </w:rPr>
          <w:fldChar w:fldCharType="begin"/>
        </w:r>
        <w:r>
          <w:rPr>
            <w:webHidden/>
          </w:rPr>
          <w:instrText xml:space="preserve"> PAGEREF _Toc217305593 \h </w:instrText>
        </w:r>
        <w:r>
          <w:rPr>
            <w:webHidden/>
          </w:rPr>
        </w:r>
        <w:r>
          <w:rPr>
            <w:webHidden/>
          </w:rPr>
          <w:fldChar w:fldCharType="separate"/>
        </w:r>
        <w:r>
          <w:rPr>
            <w:webHidden/>
          </w:rPr>
          <w:t>67</w:t>
        </w:r>
        <w:r>
          <w:rPr>
            <w:webHidden/>
          </w:rPr>
          <w:fldChar w:fldCharType="end"/>
        </w:r>
      </w:hyperlink>
    </w:p>
    <w:p w14:paraId="5D125D41" w14:textId="25DE4A32"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94" w:history="1">
        <w:r w:rsidRPr="008E0E8A">
          <w:rPr>
            <w:rStyle w:val="Hyperlink"/>
          </w:rPr>
          <w:t>Chapter 7: Mail with Telephone Follow-Up (Mixed-Mode) Survey Administration Procedures</w:t>
        </w:r>
        <w:r>
          <w:rPr>
            <w:webHidden/>
          </w:rPr>
          <w:tab/>
        </w:r>
        <w:r>
          <w:rPr>
            <w:webHidden/>
          </w:rPr>
          <w:fldChar w:fldCharType="begin"/>
        </w:r>
        <w:r>
          <w:rPr>
            <w:webHidden/>
          </w:rPr>
          <w:instrText xml:space="preserve"> PAGEREF _Toc217305594 \h </w:instrText>
        </w:r>
        <w:r>
          <w:rPr>
            <w:webHidden/>
          </w:rPr>
        </w:r>
        <w:r>
          <w:rPr>
            <w:webHidden/>
          </w:rPr>
          <w:fldChar w:fldCharType="separate"/>
        </w:r>
        <w:r>
          <w:rPr>
            <w:webHidden/>
          </w:rPr>
          <w:t>70</w:t>
        </w:r>
        <w:r>
          <w:rPr>
            <w:webHidden/>
          </w:rPr>
          <w:fldChar w:fldCharType="end"/>
        </w:r>
      </w:hyperlink>
    </w:p>
    <w:p w14:paraId="24907090" w14:textId="3A8CA04D"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5" w:history="1">
        <w:r w:rsidRPr="008E0E8A">
          <w:rPr>
            <w:rStyle w:val="Hyperlink"/>
          </w:rPr>
          <w:t>7.1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_Toc217305595 \h </w:instrText>
        </w:r>
        <w:r>
          <w:rPr>
            <w:webHidden/>
          </w:rPr>
        </w:r>
        <w:r>
          <w:rPr>
            <w:webHidden/>
          </w:rPr>
          <w:fldChar w:fldCharType="separate"/>
        </w:r>
        <w:r>
          <w:rPr>
            <w:webHidden/>
          </w:rPr>
          <w:t>70</w:t>
        </w:r>
        <w:r>
          <w:rPr>
            <w:webHidden/>
          </w:rPr>
          <w:fldChar w:fldCharType="end"/>
        </w:r>
      </w:hyperlink>
    </w:p>
    <w:p w14:paraId="543B1802" w14:textId="74577855"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6" w:history="1">
        <w:r w:rsidRPr="008E0E8A">
          <w:rPr>
            <w:rStyle w:val="Hyperlink"/>
          </w:rPr>
          <w:t>7.2</w:t>
        </w:r>
        <w:r>
          <w:rPr>
            <w:rFonts w:asciiTheme="minorHAnsi" w:eastAsiaTheme="minorEastAsia" w:hAnsiTheme="minorHAnsi" w:cstheme="minorBidi"/>
            <w:kern w:val="2"/>
            <w:sz w:val="24"/>
            <w14:ligatures w14:val="standardContextual"/>
          </w:rPr>
          <w:tab/>
        </w:r>
        <w:r w:rsidRPr="008E0E8A">
          <w:rPr>
            <w:rStyle w:val="Hyperlink"/>
          </w:rPr>
          <w:t>Data Collection Schedule</w:t>
        </w:r>
        <w:r>
          <w:rPr>
            <w:webHidden/>
          </w:rPr>
          <w:tab/>
        </w:r>
        <w:r>
          <w:rPr>
            <w:webHidden/>
          </w:rPr>
          <w:fldChar w:fldCharType="begin"/>
        </w:r>
        <w:r>
          <w:rPr>
            <w:webHidden/>
          </w:rPr>
          <w:instrText xml:space="preserve"> PAGEREF _Toc217305596 \h </w:instrText>
        </w:r>
        <w:r>
          <w:rPr>
            <w:webHidden/>
          </w:rPr>
        </w:r>
        <w:r>
          <w:rPr>
            <w:webHidden/>
          </w:rPr>
          <w:fldChar w:fldCharType="separate"/>
        </w:r>
        <w:r>
          <w:rPr>
            <w:webHidden/>
          </w:rPr>
          <w:t>70</w:t>
        </w:r>
        <w:r>
          <w:rPr>
            <w:webHidden/>
          </w:rPr>
          <w:fldChar w:fldCharType="end"/>
        </w:r>
      </w:hyperlink>
    </w:p>
    <w:p w14:paraId="7A14DA71" w14:textId="117E5FD5"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7" w:history="1">
        <w:r w:rsidRPr="008E0E8A">
          <w:rPr>
            <w:rStyle w:val="Hyperlink"/>
          </w:rPr>
          <w:t>7.3</w:t>
        </w:r>
        <w:r>
          <w:rPr>
            <w:rFonts w:asciiTheme="minorHAnsi" w:eastAsiaTheme="minorEastAsia" w:hAnsiTheme="minorHAnsi" w:cstheme="minorBidi"/>
            <w:kern w:val="2"/>
            <w:sz w:val="24"/>
            <w14:ligatures w14:val="standardContextual"/>
          </w:rPr>
          <w:tab/>
        </w:r>
        <w:r w:rsidRPr="008E0E8A">
          <w:rPr>
            <w:rStyle w:val="Hyperlink"/>
          </w:rPr>
          <w:t>Additional Requirements for Conducting Mixed-Mode Surveys</w:t>
        </w:r>
        <w:r>
          <w:rPr>
            <w:webHidden/>
          </w:rPr>
          <w:tab/>
        </w:r>
        <w:r>
          <w:rPr>
            <w:webHidden/>
          </w:rPr>
          <w:fldChar w:fldCharType="begin"/>
        </w:r>
        <w:r>
          <w:rPr>
            <w:webHidden/>
          </w:rPr>
          <w:instrText xml:space="preserve"> PAGEREF _Toc217305597 \h </w:instrText>
        </w:r>
        <w:r>
          <w:rPr>
            <w:webHidden/>
          </w:rPr>
        </w:r>
        <w:r>
          <w:rPr>
            <w:webHidden/>
          </w:rPr>
          <w:fldChar w:fldCharType="separate"/>
        </w:r>
        <w:r>
          <w:rPr>
            <w:webHidden/>
          </w:rPr>
          <w:t>71</w:t>
        </w:r>
        <w:r>
          <w:rPr>
            <w:webHidden/>
          </w:rPr>
          <w:fldChar w:fldCharType="end"/>
        </w:r>
      </w:hyperlink>
    </w:p>
    <w:p w14:paraId="0D0D1977" w14:textId="0F5E637A"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598" w:history="1">
        <w:r w:rsidRPr="008E0E8A">
          <w:rPr>
            <w:rStyle w:val="Hyperlink"/>
          </w:rPr>
          <w:t>Chapter 8: Confidentiality and Data Security</w:t>
        </w:r>
        <w:r>
          <w:rPr>
            <w:webHidden/>
          </w:rPr>
          <w:tab/>
        </w:r>
        <w:r>
          <w:rPr>
            <w:webHidden/>
          </w:rPr>
          <w:fldChar w:fldCharType="begin"/>
        </w:r>
        <w:r>
          <w:rPr>
            <w:webHidden/>
          </w:rPr>
          <w:instrText xml:space="preserve"> PAGEREF _Toc217305598 \h </w:instrText>
        </w:r>
        <w:r>
          <w:rPr>
            <w:webHidden/>
          </w:rPr>
        </w:r>
        <w:r>
          <w:rPr>
            <w:webHidden/>
          </w:rPr>
          <w:fldChar w:fldCharType="separate"/>
        </w:r>
        <w:r>
          <w:rPr>
            <w:webHidden/>
          </w:rPr>
          <w:t>73</w:t>
        </w:r>
        <w:r>
          <w:rPr>
            <w:webHidden/>
          </w:rPr>
          <w:fldChar w:fldCharType="end"/>
        </w:r>
      </w:hyperlink>
    </w:p>
    <w:p w14:paraId="4A9699CF" w14:textId="39A09396"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599" w:history="1">
        <w:r w:rsidRPr="008E0E8A">
          <w:rPr>
            <w:rStyle w:val="Hyperlink"/>
          </w:rPr>
          <w:t>8.1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_Toc217305599 \h </w:instrText>
        </w:r>
        <w:r>
          <w:rPr>
            <w:webHidden/>
          </w:rPr>
        </w:r>
        <w:r>
          <w:rPr>
            <w:webHidden/>
          </w:rPr>
          <w:fldChar w:fldCharType="separate"/>
        </w:r>
        <w:r>
          <w:rPr>
            <w:webHidden/>
          </w:rPr>
          <w:t>73</w:t>
        </w:r>
        <w:r>
          <w:rPr>
            <w:webHidden/>
          </w:rPr>
          <w:fldChar w:fldCharType="end"/>
        </w:r>
      </w:hyperlink>
    </w:p>
    <w:p w14:paraId="0E978127" w14:textId="04A4D488"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0" w:history="1">
        <w:r w:rsidRPr="008E0E8A">
          <w:rPr>
            <w:rStyle w:val="Hyperlink"/>
          </w:rPr>
          <w:t>8.2</w:t>
        </w:r>
        <w:r>
          <w:rPr>
            <w:rFonts w:asciiTheme="minorHAnsi" w:eastAsiaTheme="minorEastAsia" w:hAnsiTheme="minorHAnsi" w:cstheme="minorBidi"/>
            <w:kern w:val="2"/>
            <w:sz w:val="24"/>
            <w14:ligatures w14:val="standardContextual"/>
          </w:rPr>
          <w:tab/>
        </w:r>
        <w:r w:rsidRPr="008E0E8A">
          <w:rPr>
            <w:rStyle w:val="Hyperlink"/>
          </w:rPr>
          <w:t>Safeguarding Patient Data</w:t>
        </w:r>
        <w:r>
          <w:rPr>
            <w:webHidden/>
          </w:rPr>
          <w:tab/>
        </w:r>
        <w:r>
          <w:rPr>
            <w:webHidden/>
          </w:rPr>
          <w:fldChar w:fldCharType="begin"/>
        </w:r>
        <w:r>
          <w:rPr>
            <w:webHidden/>
          </w:rPr>
          <w:instrText xml:space="preserve"> PAGEREF _Toc217305600 \h </w:instrText>
        </w:r>
        <w:r>
          <w:rPr>
            <w:webHidden/>
          </w:rPr>
        </w:r>
        <w:r>
          <w:rPr>
            <w:webHidden/>
          </w:rPr>
          <w:fldChar w:fldCharType="separate"/>
        </w:r>
        <w:r>
          <w:rPr>
            <w:webHidden/>
          </w:rPr>
          <w:t>73</w:t>
        </w:r>
        <w:r>
          <w:rPr>
            <w:webHidden/>
          </w:rPr>
          <w:fldChar w:fldCharType="end"/>
        </w:r>
      </w:hyperlink>
    </w:p>
    <w:p w14:paraId="65427EAC" w14:textId="5FC897E1"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1" w:history="1">
        <w:r w:rsidRPr="008E0E8A">
          <w:rPr>
            <w:rStyle w:val="Hyperlink"/>
          </w:rPr>
          <w:t>8.3</w:t>
        </w:r>
        <w:r>
          <w:rPr>
            <w:rFonts w:asciiTheme="minorHAnsi" w:eastAsiaTheme="minorEastAsia" w:hAnsiTheme="minorHAnsi" w:cstheme="minorBidi"/>
            <w:kern w:val="2"/>
            <w:sz w:val="24"/>
            <w14:ligatures w14:val="standardContextual"/>
          </w:rPr>
          <w:tab/>
        </w:r>
        <w:r w:rsidRPr="008E0E8A">
          <w:rPr>
            <w:rStyle w:val="Hyperlink"/>
          </w:rPr>
          <w:t>Obtain Confidentiality Agreements</w:t>
        </w:r>
        <w:r>
          <w:rPr>
            <w:webHidden/>
          </w:rPr>
          <w:tab/>
        </w:r>
        <w:r>
          <w:rPr>
            <w:webHidden/>
          </w:rPr>
          <w:fldChar w:fldCharType="begin"/>
        </w:r>
        <w:r>
          <w:rPr>
            <w:webHidden/>
          </w:rPr>
          <w:instrText xml:space="preserve"> PAGEREF _Toc217305601 \h </w:instrText>
        </w:r>
        <w:r>
          <w:rPr>
            <w:webHidden/>
          </w:rPr>
        </w:r>
        <w:r>
          <w:rPr>
            <w:webHidden/>
          </w:rPr>
          <w:fldChar w:fldCharType="separate"/>
        </w:r>
        <w:r>
          <w:rPr>
            <w:webHidden/>
          </w:rPr>
          <w:t>75</w:t>
        </w:r>
        <w:r>
          <w:rPr>
            <w:webHidden/>
          </w:rPr>
          <w:fldChar w:fldCharType="end"/>
        </w:r>
      </w:hyperlink>
    </w:p>
    <w:p w14:paraId="43026D97" w14:textId="7FE001DA"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2" w:history="1">
        <w:r w:rsidRPr="008E0E8A">
          <w:rPr>
            <w:rStyle w:val="Hyperlink"/>
          </w:rPr>
          <w:t>8.4</w:t>
        </w:r>
        <w:r>
          <w:rPr>
            <w:rFonts w:asciiTheme="minorHAnsi" w:eastAsiaTheme="minorEastAsia" w:hAnsiTheme="minorHAnsi" w:cstheme="minorBidi"/>
            <w:kern w:val="2"/>
            <w:sz w:val="24"/>
            <w14:ligatures w14:val="standardContextual"/>
          </w:rPr>
          <w:tab/>
        </w:r>
        <w:r w:rsidRPr="008E0E8A">
          <w:rPr>
            <w:rStyle w:val="Hyperlink"/>
          </w:rPr>
          <w:t>Ensure Electronic and Physical Data Security</w:t>
        </w:r>
        <w:r>
          <w:rPr>
            <w:webHidden/>
          </w:rPr>
          <w:tab/>
        </w:r>
        <w:r>
          <w:rPr>
            <w:webHidden/>
          </w:rPr>
          <w:fldChar w:fldCharType="begin"/>
        </w:r>
        <w:r>
          <w:rPr>
            <w:webHidden/>
          </w:rPr>
          <w:instrText xml:space="preserve"> PAGEREF _Toc217305602 \h </w:instrText>
        </w:r>
        <w:r>
          <w:rPr>
            <w:webHidden/>
          </w:rPr>
        </w:r>
        <w:r>
          <w:rPr>
            <w:webHidden/>
          </w:rPr>
          <w:fldChar w:fldCharType="separate"/>
        </w:r>
        <w:r>
          <w:rPr>
            <w:webHidden/>
          </w:rPr>
          <w:t>75</w:t>
        </w:r>
        <w:r>
          <w:rPr>
            <w:webHidden/>
          </w:rPr>
          <w:fldChar w:fldCharType="end"/>
        </w:r>
      </w:hyperlink>
    </w:p>
    <w:p w14:paraId="4F332347" w14:textId="27DB919F"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3" w:history="1">
        <w:r w:rsidRPr="008E0E8A">
          <w:rPr>
            <w:rStyle w:val="Hyperlink"/>
          </w:rPr>
          <w:t>8.5</w:t>
        </w:r>
        <w:r>
          <w:rPr>
            <w:rFonts w:asciiTheme="minorHAnsi" w:eastAsiaTheme="minorEastAsia" w:hAnsiTheme="minorHAnsi" w:cstheme="minorBidi"/>
            <w:kern w:val="2"/>
            <w:sz w:val="24"/>
            <w14:ligatures w14:val="standardContextual"/>
          </w:rPr>
          <w:tab/>
        </w:r>
        <w:r w:rsidRPr="008E0E8A">
          <w:rPr>
            <w:rStyle w:val="Hyperlink"/>
          </w:rPr>
          <w:t>Provide HHCAHPS Response Data to Client HHAs</w:t>
        </w:r>
        <w:r>
          <w:rPr>
            <w:webHidden/>
          </w:rPr>
          <w:tab/>
        </w:r>
        <w:r>
          <w:rPr>
            <w:webHidden/>
          </w:rPr>
          <w:fldChar w:fldCharType="begin"/>
        </w:r>
        <w:r>
          <w:rPr>
            <w:webHidden/>
          </w:rPr>
          <w:instrText xml:space="preserve"> PAGEREF _Toc217305603 \h </w:instrText>
        </w:r>
        <w:r>
          <w:rPr>
            <w:webHidden/>
          </w:rPr>
        </w:r>
        <w:r>
          <w:rPr>
            <w:webHidden/>
          </w:rPr>
          <w:fldChar w:fldCharType="separate"/>
        </w:r>
        <w:r>
          <w:rPr>
            <w:webHidden/>
          </w:rPr>
          <w:t>76</w:t>
        </w:r>
        <w:r>
          <w:rPr>
            <w:webHidden/>
          </w:rPr>
          <w:fldChar w:fldCharType="end"/>
        </w:r>
      </w:hyperlink>
    </w:p>
    <w:p w14:paraId="77DD4A6F" w14:textId="5CA62EA7"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4" w:history="1">
        <w:r w:rsidRPr="008E0E8A">
          <w:rPr>
            <w:rStyle w:val="Hyperlink"/>
          </w:rPr>
          <w:t>8.6</w:t>
        </w:r>
        <w:r>
          <w:rPr>
            <w:rFonts w:asciiTheme="minorHAnsi" w:eastAsiaTheme="minorEastAsia" w:hAnsiTheme="minorHAnsi" w:cstheme="minorBidi"/>
            <w:kern w:val="2"/>
            <w:sz w:val="24"/>
            <w14:ligatures w14:val="standardContextual"/>
          </w:rPr>
          <w:tab/>
        </w:r>
        <w:r w:rsidRPr="008E0E8A">
          <w:rPr>
            <w:rStyle w:val="Hyperlink"/>
          </w:rPr>
          <w:t>Survey Vendor Analysis and Reporting of HHCAHPS Survey Data to HHA Clients</w:t>
        </w:r>
        <w:r>
          <w:rPr>
            <w:webHidden/>
          </w:rPr>
          <w:tab/>
        </w:r>
        <w:r>
          <w:rPr>
            <w:webHidden/>
          </w:rPr>
          <w:fldChar w:fldCharType="begin"/>
        </w:r>
        <w:r>
          <w:rPr>
            <w:webHidden/>
          </w:rPr>
          <w:instrText xml:space="preserve"> PAGEREF _Toc217305604 \h </w:instrText>
        </w:r>
        <w:r>
          <w:rPr>
            <w:webHidden/>
          </w:rPr>
        </w:r>
        <w:r>
          <w:rPr>
            <w:webHidden/>
          </w:rPr>
          <w:fldChar w:fldCharType="separate"/>
        </w:r>
        <w:r>
          <w:rPr>
            <w:webHidden/>
          </w:rPr>
          <w:t>78</w:t>
        </w:r>
        <w:r>
          <w:rPr>
            <w:webHidden/>
          </w:rPr>
          <w:fldChar w:fldCharType="end"/>
        </w:r>
      </w:hyperlink>
    </w:p>
    <w:p w14:paraId="7F7D76E3" w14:textId="6A8C582A"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605" w:history="1">
        <w:r w:rsidRPr="008E0E8A">
          <w:rPr>
            <w:rStyle w:val="Hyperlink"/>
          </w:rPr>
          <w:t>Chapter 9: Data Processing and Coding</w:t>
        </w:r>
        <w:r>
          <w:rPr>
            <w:webHidden/>
          </w:rPr>
          <w:tab/>
        </w:r>
        <w:r>
          <w:rPr>
            <w:webHidden/>
          </w:rPr>
          <w:fldChar w:fldCharType="begin"/>
        </w:r>
        <w:r>
          <w:rPr>
            <w:webHidden/>
          </w:rPr>
          <w:instrText xml:space="preserve"> PAGEREF _Toc217305605 \h </w:instrText>
        </w:r>
        <w:r>
          <w:rPr>
            <w:webHidden/>
          </w:rPr>
        </w:r>
        <w:r>
          <w:rPr>
            <w:webHidden/>
          </w:rPr>
          <w:fldChar w:fldCharType="separate"/>
        </w:r>
        <w:r>
          <w:rPr>
            <w:webHidden/>
          </w:rPr>
          <w:t>80</w:t>
        </w:r>
        <w:r>
          <w:rPr>
            <w:webHidden/>
          </w:rPr>
          <w:fldChar w:fldCharType="end"/>
        </w:r>
      </w:hyperlink>
    </w:p>
    <w:p w14:paraId="0B46D855" w14:textId="6B06F78E"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6" w:history="1">
        <w:r w:rsidRPr="008E0E8A">
          <w:rPr>
            <w:rStyle w:val="Hyperlink"/>
          </w:rPr>
          <w:t>9.1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_Toc217305606 \h </w:instrText>
        </w:r>
        <w:r>
          <w:rPr>
            <w:webHidden/>
          </w:rPr>
        </w:r>
        <w:r>
          <w:rPr>
            <w:webHidden/>
          </w:rPr>
          <w:fldChar w:fldCharType="separate"/>
        </w:r>
        <w:r>
          <w:rPr>
            <w:webHidden/>
          </w:rPr>
          <w:t>80</w:t>
        </w:r>
        <w:r>
          <w:rPr>
            <w:webHidden/>
          </w:rPr>
          <w:fldChar w:fldCharType="end"/>
        </w:r>
      </w:hyperlink>
    </w:p>
    <w:p w14:paraId="37E5DDB7" w14:textId="0A73A386"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7" w:history="1">
        <w:r w:rsidRPr="008E0E8A">
          <w:rPr>
            <w:rStyle w:val="Hyperlink"/>
          </w:rPr>
          <w:t>9.2</w:t>
        </w:r>
        <w:r>
          <w:rPr>
            <w:rFonts w:asciiTheme="minorHAnsi" w:eastAsiaTheme="minorEastAsia" w:hAnsiTheme="minorHAnsi" w:cstheme="minorBidi"/>
            <w:kern w:val="2"/>
            <w:sz w:val="24"/>
            <w14:ligatures w14:val="standardContextual"/>
          </w:rPr>
          <w:tab/>
        </w:r>
        <w:r w:rsidRPr="008E0E8A">
          <w:rPr>
            <w:rStyle w:val="Hyperlink"/>
          </w:rPr>
          <w:t>Data Processing Decision Rules and Coding Guidelines</w:t>
        </w:r>
        <w:r>
          <w:rPr>
            <w:webHidden/>
          </w:rPr>
          <w:tab/>
        </w:r>
        <w:r>
          <w:rPr>
            <w:webHidden/>
          </w:rPr>
          <w:fldChar w:fldCharType="begin"/>
        </w:r>
        <w:r>
          <w:rPr>
            <w:webHidden/>
          </w:rPr>
          <w:instrText xml:space="preserve"> PAGEREF _Toc217305607 \h </w:instrText>
        </w:r>
        <w:r>
          <w:rPr>
            <w:webHidden/>
          </w:rPr>
        </w:r>
        <w:r>
          <w:rPr>
            <w:webHidden/>
          </w:rPr>
          <w:fldChar w:fldCharType="separate"/>
        </w:r>
        <w:r>
          <w:rPr>
            <w:webHidden/>
          </w:rPr>
          <w:t>80</w:t>
        </w:r>
        <w:r>
          <w:rPr>
            <w:webHidden/>
          </w:rPr>
          <w:fldChar w:fldCharType="end"/>
        </w:r>
      </w:hyperlink>
    </w:p>
    <w:p w14:paraId="08778F19" w14:textId="4F46F6F6"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8" w:history="1">
        <w:r w:rsidRPr="008E0E8A">
          <w:rPr>
            <w:rStyle w:val="Hyperlink"/>
          </w:rPr>
          <w:t>9.3</w:t>
        </w:r>
        <w:r>
          <w:rPr>
            <w:rFonts w:asciiTheme="minorHAnsi" w:eastAsiaTheme="minorEastAsia" w:hAnsiTheme="minorHAnsi" w:cstheme="minorBidi"/>
            <w:kern w:val="2"/>
            <w:sz w:val="24"/>
            <w14:ligatures w14:val="standardContextual"/>
          </w:rPr>
          <w:tab/>
        </w:r>
        <w:r w:rsidRPr="008E0E8A">
          <w:rPr>
            <w:rStyle w:val="Hyperlink"/>
          </w:rPr>
          <w:t>Survey Disposition Codes</w:t>
        </w:r>
        <w:r>
          <w:rPr>
            <w:webHidden/>
          </w:rPr>
          <w:tab/>
        </w:r>
        <w:r>
          <w:rPr>
            <w:webHidden/>
          </w:rPr>
          <w:fldChar w:fldCharType="begin"/>
        </w:r>
        <w:r>
          <w:rPr>
            <w:webHidden/>
          </w:rPr>
          <w:instrText xml:space="preserve"> PAGEREF _Toc217305608 \h </w:instrText>
        </w:r>
        <w:r>
          <w:rPr>
            <w:webHidden/>
          </w:rPr>
        </w:r>
        <w:r>
          <w:rPr>
            <w:webHidden/>
          </w:rPr>
          <w:fldChar w:fldCharType="separate"/>
        </w:r>
        <w:r>
          <w:rPr>
            <w:webHidden/>
          </w:rPr>
          <w:t>84</w:t>
        </w:r>
        <w:r>
          <w:rPr>
            <w:webHidden/>
          </w:rPr>
          <w:fldChar w:fldCharType="end"/>
        </w:r>
      </w:hyperlink>
    </w:p>
    <w:p w14:paraId="6DB96ED9" w14:textId="0528FA54"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09" w:history="1">
        <w:r w:rsidRPr="008E0E8A">
          <w:rPr>
            <w:rStyle w:val="Hyperlink"/>
          </w:rPr>
          <w:t>9.4</w:t>
        </w:r>
        <w:r>
          <w:rPr>
            <w:rFonts w:asciiTheme="minorHAnsi" w:eastAsiaTheme="minorEastAsia" w:hAnsiTheme="minorHAnsi" w:cstheme="minorBidi"/>
            <w:kern w:val="2"/>
            <w:sz w:val="24"/>
            <w14:ligatures w14:val="standardContextual"/>
          </w:rPr>
          <w:tab/>
        </w:r>
        <w:r w:rsidRPr="008E0E8A">
          <w:rPr>
            <w:rStyle w:val="Hyperlink"/>
          </w:rPr>
          <w:t>Handling Blank Questionnaires</w:t>
        </w:r>
        <w:r>
          <w:rPr>
            <w:webHidden/>
          </w:rPr>
          <w:tab/>
        </w:r>
        <w:r>
          <w:rPr>
            <w:webHidden/>
          </w:rPr>
          <w:fldChar w:fldCharType="begin"/>
        </w:r>
        <w:r>
          <w:rPr>
            <w:webHidden/>
          </w:rPr>
          <w:instrText xml:space="preserve"> PAGEREF _Toc217305609 \h </w:instrText>
        </w:r>
        <w:r>
          <w:rPr>
            <w:webHidden/>
          </w:rPr>
        </w:r>
        <w:r>
          <w:rPr>
            <w:webHidden/>
          </w:rPr>
          <w:fldChar w:fldCharType="separate"/>
        </w:r>
        <w:r>
          <w:rPr>
            <w:webHidden/>
          </w:rPr>
          <w:t>88</w:t>
        </w:r>
        <w:r>
          <w:rPr>
            <w:webHidden/>
          </w:rPr>
          <w:fldChar w:fldCharType="end"/>
        </w:r>
      </w:hyperlink>
    </w:p>
    <w:p w14:paraId="7DDE6095" w14:textId="70DA4FA8"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10" w:history="1">
        <w:r w:rsidRPr="008E0E8A">
          <w:rPr>
            <w:rStyle w:val="Hyperlink"/>
          </w:rPr>
          <w:t>9.5</w:t>
        </w:r>
        <w:r>
          <w:rPr>
            <w:rFonts w:asciiTheme="minorHAnsi" w:eastAsiaTheme="minorEastAsia" w:hAnsiTheme="minorHAnsi" w:cstheme="minorBidi"/>
            <w:kern w:val="2"/>
            <w:sz w:val="24"/>
            <w14:ligatures w14:val="standardContextual"/>
          </w:rPr>
          <w:tab/>
        </w:r>
        <w:r w:rsidRPr="008E0E8A">
          <w:rPr>
            <w:rStyle w:val="Hyperlink"/>
          </w:rPr>
          <w:t>Coding Proxy Surveys and Interviews</w:t>
        </w:r>
        <w:r>
          <w:rPr>
            <w:webHidden/>
          </w:rPr>
          <w:tab/>
        </w:r>
        <w:r>
          <w:rPr>
            <w:webHidden/>
          </w:rPr>
          <w:fldChar w:fldCharType="begin"/>
        </w:r>
        <w:r>
          <w:rPr>
            <w:webHidden/>
          </w:rPr>
          <w:instrText xml:space="preserve"> PAGEREF _Toc217305610 \h </w:instrText>
        </w:r>
        <w:r>
          <w:rPr>
            <w:webHidden/>
          </w:rPr>
        </w:r>
        <w:r>
          <w:rPr>
            <w:webHidden/>
          </w:rPr>
          <w:fldChar w:fldCharType="separate"/>
        </w:r>
        <w:r>
          <w:rPr>
            <w:webHidden/>
          </w:rPr>
          <w:t>88</w:t>
        </w:r>
        <w:r>
          <w:rPr>
            <w:webHidden/>
          </w:rPr>
          <w:fldChar w:fldCharType="end"/>
        </w:r>
      </w:hyperlink>
    </w:p>
    <w:p w14:paraId="572C27BE" w14:textId="07BFBE9A"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11" w:history="1">
        <w:r w:rsidRPr="008E0E8A">
          <w:rPr>
            <w:rStyle w:val="Hyperlink"/>
          </w:rPr>
          <w:t>9.6</w:t>
        </w:r>
        <w:r>
          <w:rPr>
            <w:rFonts w:asciiTheme="minorHAnsi" w:eastAsiaTheme="minorEastAsia" w:hAnsiTheme="minorHAnsi" w:cstheme="minorBidi"/>
            <w:kern w:val="2"/>
            <w:sz w:val="24"/>
            <w14:ligatures w14:val="standardContextual"/>
          </w:rPr>
          <w:tab/>
        </w:r>
        <w:r w:rsidRPr="008E0E8A">
          <w:rPr>
            <w:rStyle w:val="Hyperlink"/>
          </w:rPr>
          <w:t>Definition of a Completed Survey</w:t>
        </w:r>
        <w:r>
          <w:rPr>
            <w:webHidden/>
          </w:rPr>
          <w:tab/>
        </w:r>
        <w:r>
          <w:rPr>
            <w:webHidden/>
          </w:rPr>
          <w:fldChar w:fldCharType="begin"/>
        </w:r>
        <w:r>
          <w:rPr>
            <w:webHidden/>
          </w:rPr>
          <w:instrText xml:space="preserve"> PAGEREF _Toc217305611 \h </w:instrText>
        </w:r>
        <w:r>
          <w:rPr>
            <w:webHidden/>
          </w:rPr>
        </w:r>
        <w:r>
          <w:rPr>
            <w:webHidden/>
          </w:rPr>
          <w:fldChar w:fldCharType="separate"/>
        </w:r>
        <w:r>
          <w:rPr>
            <w:webHidden/>
          </w:rPr>
          <w:t>89</w:t>
        </w:r>
        <w:r>
          <w:rPr>
            <w:webHidden/>
          </w:rPr>
          <w:fldChar w:fldCharType="end"/>
        </w:r>
      </w:hyperlink>
    </w:p>
    <w:p w14:paraId="53FD885A" w14:textId="663113D0"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12" w:history="1">
        <w:r w:rsidRPr="008E0E8A">
          <w:rPr>
            <w:rStyle w:val="Hyperlink"/>
          </w:rPr>
          <w:t>9.7</w:t>
        </w:r>
        <w:r>
          <w:rPr>
            <w:rFonts w:asciiTheme="minorHAnsi" w:eastAsiaTheme="minorEastAsia" w:hAnsiTheme="minorHAnsi" w:cstheme="minorBidi"/>
            <w:kern w:val="2"/>
            <w:sz w:val="24"/>
            <w14:ligatures w14:val="standardContextual"/>
          </w:rPr>
          <w:tab/>
        </w:r>
        <w:r w:rsidRPr="008E0E8A">
          <w:rPr>
            <w:rStyle w:val="Hyperlink"/>
          </w:rPr>
          <w:t>Computing the Response Rate</w:t>
        </w:r>
        <w:r>
          <w:rPr>
            <w:webHidden/>
          </w:rPr>
          <w:tab/>
        </w:r>
        <w:r>
          <w:rPr>
            <w:webHidden/>
          </w:rPr>
          <w:fldChar w:fldCharType="begin"/>
        </w:r>
        <w:r>
          <w:rPr>
            <w:webHidden/>
          </w:rPr>
          <w:instrText xml:space="preserve"> PAGEREF _Toc217305612 \h </w:instrText>
        </w:r>
        <w:r>
          <w:rPr>
            <w:webHidden/>
          </w:rPr>
        </w:r>
        <w:r>
          <w:rPr>
            <w:webHidden/>
          </w:rPr>
          <w:fldChar w:fldCharType="separate"/>
        </w:r>
        <w:r>
          <w:rPr>
            <w:webHidden/>
          </w:rPr>
          <w:t>89</w:t>
        </w:r>
        <w:r>
          <w:rPr>
            <w:webHidden/>
          </w:rPr>
          <w:fldChar w:fldCharType="end"/>
        </w:r>
      </w:hyperlink>
    </w:p>
    <w:p w14:paraId="4064C6DA" w14:textId="65CB9D69" w:rsidR="00C40D67" w:rsidRDefault="00C40D67">
      <w:pPr>
        <w:pStyle w:val="TOC2"/>
        <w:tabs>
          <w:tab w:val="left" w:pos="1268"/>
        </w:tabs>
        <w:rPr>
          <w:rFonts w:asciiTheme="minorHAnsi" w:eastAsiaTheme="minorEastAsia" w:hAnsiTheme="minorHAnsi" w:cstheme="minorBidi"/>
          <w:kern w:val="2"/>
          <w:sz w:val="24"/>
          <w14:ligatures w14:val="standardContextual"/>
        </w:rPr>
      </w:pPr>
      <w:hyperlink w:anchor="_Toc217305613" w:history="1">
        <w:r w:rsidRPr="008E0E8A">
          <w:rPr>
            <w:rStyle w:val="Hyperlink"/>
          </w:rPr>
          <w:t>9.8</w:t>
        </w:r>
        <w:r>
          <w:rPr>
            <w:rFonts w:asciiTheme="minorHAnsi" w:eastAsiaTheme="minorEastAsia" w:hAnsiTheme="minorHAnsi" w:cstheme="minorBidi"/>
            <w:kern w:val="2"/>
            <w:sz w:val="24"/>
            <w14:ligatures w14:val="standardContextual"/>
          </w:rPr>
          <w:tab/>
        </w:r>
        <w:r w:rsidRPr="008E0E8A">
          <w:rPr>
            <w:rStyle w:val="Hyperlink"/>
          </w:rPr>
          <w:t>Quality Control Guidelines</w:t>
        </w:r>
        <w:r>
          <w:rPr>
            <w:webHidden/>
          </w:rPr>
          <w:tab/>
        </w:r>
        <w:r>
          <w:rPr>
            <w:webHidden/>
          </w:rPr>
          <w:fldChar w:fldCharType="begin"/>
        </w:r>
        <w:r>
          <w:rPr>
            <w:webHidden/>
          </w:rPr>
          <w:instrText xml:space="preserve"> PAGEREF _Toc217305613 \h </w:instrText>
        </w:r>
        <w:r>
          <w:rPr>
            <w:webHidden/>
          </w:rPr>
        </w:r>
        <w:r>
          <w:rPr>
            <w:webHidden/>
          </w:rPr>
          <w:fldChar w:fldCharType="separate"/>
        </w:r>
        <w:r>
          <w:rPr>
            <w:webHidden/>
          </w:rPr>
          <w:t>90</w:t>
        </w:r>
        <w:r>
          <w:rPr>
            <w:webHidden/>
          </w:rPr>
          <w:fldChar w:fldCharType="end"/>
        </w:r>
      </w:hyperlink>
    </w:p>
    <w:p w14:paraId="752D7115" w14:textId="192ECAF9"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614" w:history="1">
        <w:r w:rsidRPr="008E0E8A">
          <w:rPr>
            <w:rStyle w:val="Hyperlink"/>
          </w:rPr>
          <w:t>Chapter 10: Website and File Submissions</w:t>
        </w:r>
        <w:r>
          <w:rPr>
            <w:webHidden/>
          </w:rPr>
          <w:tab/>
        </w:r>
        <w:r>
          <w:rPr>
            <w:webHidden/>
          </w:rPr>
          <w:fldChar w:fldCharType="begin"/>
        </w:r>
        <w:r>
          <w:rPr>
            <w:webHidden/>
          </w:rPr>
          <w:instrText xml:space="preserve"> PAGEREF _Toc217305614 \h </w:instrText>
        </w:r>
        <w:r>
          <w:rPr>
            <w:webHidden/>
          </w:rPr>
        </w:r>
        <w:r>
          <w:rPr>
            <w:webHidden/>
          </w:rPr>
          <w:fldChar w:fldCharType="separate"/>
        </w:r>
        <w:r>
          <w:rPr>
            <w:webHidden/>
          </w:rPr>
          <w:t>94</w:t>
        </w:r>
        <w:r>
          <w:rPr>
            <w:webHidden/>
          </w:rPr>
          <w:fldChar w:fldCharType="end"/>
        </w:r>
      </w:hyperlink>
    </w:p>
    <w:p w14:paraId="6B58354D" w14:textId="680EC2A8"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15" w:history="1">
        <w:r w:rsidRPr="008E0E8A">
          <w:rPr>
            <w:rStyle w:val="Hyperlink"/>
          </w:rPr>
          <w:t>10.1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_Toc217305615 \h </w:instrText>
        </w:r>
        <w:r>
          <w:rPr>
            <w:webHidden/>
          </w:rPr>
        </w:r>
        <w:r>
          <w:rPr>
            <w:webHidden/>
          </w:rPr>
          <w:fldChar w:fldCharType="separate"/>
        </w:r>
        <w:r>
          <w:rPr>
            <w:webHidden/>
          </w:rPr>
          <w:t>94</w:t>
        </w:r>
        <w:r>
          <w:rPr>
            <w:webHidden/>
          </w:rPr>
          <w:fldChar w:fldCharType="end"/>
        </w:r>
      </w:hyperlink>
    </w:p>
    <w:p w14:paraId="3201C2C9" w14:textId="0ADB8673"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16" w:history="1">
        <w:r w:rsidRPr="008E0E8A">
          <w:rPr>
            <w:rStyle w:val="Hyperlink"/>
          </w:rPr>
          <w:t>10.2</w:t>
        </w:r>
        <w:r>
          <w:rPr>
            <w:rFonts w:asciiTheme="minorHAnsi" w:eastAsiaTheme="minorEastAsia" w:hAnsiTheme="minorHAnsi" w:cstheme="minorBidi"/>
            <w:kern w:val="2"/>
            <w:sz w:val="24"/>
            <w14:ligatures w14:val="standardContextual"/>
          </w:rPr>
          <w:tab/>
        </w:r>
        <w:r w:rsidRPr="008E0E8A">
          <w:rPr>
            <w:rStyle w:val="Hyperlink"/>
          </w:rPr>
          <w:t>The HHCAHPS Survey Website</w:t>
        </w:r>
        <w:r>
          <w:rPr>
            <w:webHidden/>
          </w:rPr>
          <w:tab/>
        </w:r>
        <w:r>
          <w:rPr>
            <w:webHidden/>
          </w:rPr>
          <w:fldChar w:fldCharType="begin"/>
        </w:r>
        <w:r>
          <w:rPr>
            <w:webHidden/>
          </w:rPr>
          <w:instrText xml:space="preserve"> PAGEREF _Toc217305616 \h </w:instrText>
        </w:r>
        <w:r>
          <w:rPr>
            <w:webHidden/>
          </w:rPr>
        </w:r>
        <w:r>
          <w:rPr>
            <w:webHidden/>
          </w:rPr>
          <w:fldChar w:fldCharType="separate"/>
        </w:r>
        <w:r>
          <w:rPr>
            <w:webHidden/>
          </w:rPr>
          <w:t>94</w:t>
        </w:r>
        <w:r>
          <w:rPr>
            <w:webHidden/>
          </w:rPr>
          <w:fldChar w:fldCharType="end"/>
        </w:r>
      </w:hyperlink>
    </w:p>
    <w:p w14:paraId="089A5D95" w14:textId="0BF0BC19"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17" w:history="1">
        <w:r w:rsidRPr="008E0E8A">
          <w:rPr>
            <w:rStyle w:val="Hyperlink"/>
          </w:rPr>
          <w:t>10.3</w:t>
        </w:r>
        <w:r>
          <w:rPr>
            <w:rFonts w:asciiTheme="minorHAnsi" w:eastAsiaTheme="minorEastAsia" w:hAnsiTheme="minorHAnsi" w:cstheme="minorBidi"/>
            <w:kern w:val="2"/>
            <w:sz w:val="24"/>
            <w14:ligatures w14:val="standardContextual"/>
          </w:rPr>
          <w:tab/>
        </w:r>
        <w:r w:rsidRPr="008E0E8A">
          <w:rPr>
            <w:rStyle w:val="Hyperlink"/>
          </w:rPr>
          <w:t>HHA Survey Vendor Authorization</w:t>
        </w:r>
        <w:r>
          <w:rPr>
            <w:webHidden/>
          </w:rPr>
          <w:tab/>
        </w:r>
        <w:r>
          <w:rPr>
            <w:webHidden/>
          </w:rPr>
          <w:fldChar w:fldCharType="begin"/>
        </w:r>
        <w:r>
          <w:rPr>
            <w:webHidden/>
          </w:rPr>
          <w:instrText xml:space="preserve"> PAGEREF _Toc217305617 \h </w:instrText>
        </w:r>
        <w:r>
          <w:rPr>
            <w:webHidden/>
          </w:rPr>
        </w:r>
        <w:r>
          <w:rPr>
            <w:webHidden/>
          </w:rPr>
          <w:fldChar w:fldCharType="separate"/>
        </w:r>
        <w:r>
          <w:rPr>
            <w:webHidden/>
          </w:rPr>
          <w:t>98</w:t>
        </w:r>
        <w:r>
          <w:rPr>
            <w:webHidden/>
          </w:rPr>
          <w:fldChar w:fldCharType="end"/>
        </w:r>
      </w:hyperlink>
    </w:p>
    <w:p w14:paraId="2504D853" w14:textId="638D75F1"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18" w:history="1">
        <w:r w:rsidRPr="008E0E8A">
          <w:rPr>
            <w:rStyle w:val="Hyperlink"/>
          </w:rPr>
          <w:t>10.4</w:t>
        </w:r>
        <w:r>
          <w:rPr>
            <w:rFonts w:asciiTheme="minorHAnsi" w:eastAsiaTheme="minorEastAsia" w:hAnsiTheme="minorHAnsi" w:cstheme="minorBidi"/>
            <w:kern w:val="2"/>
            <w:sz w:val="24"/>
            <w14:ligatures w14:val="standardContextual"/>
          </w:rPr>
          <w:tab/>
        </w:r>
        <w:r w:rsidRPr="008E0E8A">
          <w:rPr>
            <w:rStyle w:val="Hyperlink"/>
          </w:rPr>
          <w:t>Submitting HHCAHPS Survey XML Data Files to the Data Center</w:t>
        </w:r>
        <w:r>
          <w:rPr>
            <w:webHidden/>
          </w:rPr>
          <w:tab/>
        </w:r>
        <w:r>
          <w:rPr>
            <w:webHidden/>
          </w:rPr>
          <w:fldChar w:fldCharType="begin"/>
        </w:r>
        <w:r>
          <w:rPr>
            <w:webHidden/>
          </w:rPr>
          <w:instrText xml:space="preserve"> PAGEREF _Toc217305618 \h </w:instrText>
        </w:r>
        <w:r>
          <w:rPr>
            <w:webHidden/>
          </w:rPr>
        </w:r>
        <w:r>
          <w:rPr>
            <w:webHidden/>
          </w:rPr>
          <w:fldChar w:fldCharType="separate"/>
        </w:r>
        <w:r>
          <w:rPr>
            <w:webHidden/>
          </w:rPr>
          <w:t>100</w:t>
        </w:r>
        <w:r>
          <w:rPr>
            <w:webHidden/>
          </w:rPr>
          <w:fldChar w:fldCharType="end"/>
        </w:r>
      </w:hyperlink>
    </w:p>
    <w:p w14:paraId="45EBAEA9" w14:textId="123AD142"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19" w:history="1">
        <w:r w:rsidRPr="008E0E8A">
          <w:rPr>
            <w:rStyle w:val="Hyperlink"/>
          </w:rPr>
          <w:t>10.5</w:t>
        </w:r>
        <w:r>
          <w:rPr>
            <w:rFonts w:asciiTheme="minorHAnsi" w:eastAsiaTheme="minorEastAsia" w:hAnsiTheme="minorHAnsi" w:cstheme="minorBidi"/>
            <w:kern w:val="2"/>
            <w:sz w:val="24"/>
            <w14:ligatures w14:val="standardContextual"/>
          </w:rPr>
          <w:tab/>
        </w:r>
        <w:r w:rsidRPr="008E0E8A">
          <w:rPr>
            <w:rStyle w:val="Hyperlink"/>
          </w:rPr>
          <w:t>XML Data File Specifications for Data Submissions</w:t>
        </w:r>
        <w:r>
          <w:rPr>
            <w:webHidden/>
          </w:rPr>
          <w:tab/>
        </w:r>
        <w:r>
          <w:rPr>
            <w:webHidden/>
          </w:rPr>
          <w:fldChar w:fldCharType="begin"/>
        </w:r>
        <w:r>
          <w:rPr>
            <w:webHidden/>
          </w:rPr>
          <w:instrText xml:space="preserve"> PAGEREF _Toc217305619 \h </w:instrText>
        </w:r>
        <w:r>
          <w:rPr>
            <w:webHidden/>
          </w:rPr>
        </w:r>
        <w:r>
          <w:rPr>
            <w:webHidden/>
          </w:rPr>
          <w:fldChar w:fldCharType="separate"/>
        </w:r>
        <w:r>
          <w:rPr>
            <w:webHidden/>
          </w:rPr>
          <w:t>101</w:t>
        </w:r>
        <w:r>
          <w:rPr>
            <w:webHidden/>
          </w:rPr>
          <w:fldChar w:fldCharType="end"/>
        </w:r>
      </w:hyperlink>
    </w:p>
    <w:p w14:paraId="7D98604F" w14:textId="5E8DDC59"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0" w:history="1">
        <w:r w:rsidRPr="008E0E8A">
          <w:rPr>
            <w:rStyle w:val="Hyperlink"/>
          </w:rPr>
          <w:t>10.6</w:t>
        </w:r>
        <w:r>
          <w:rPr>
            <w:rFonts w:asciiTheme="minorHAnsi" w:eastAsiaTheme="minorEastAsia" w:hAnsiTheme="minorHAnsi" w:cstheme="minorBidi"/>
            <w:kern w:val="2"/>
            <w:sz w:val="24"/>
            <w14:ligatures w14:val="standardContextual"/>
          </w:rPr>
          <w:tab/>
        </w:r>
        <w:r w:rsidRPr="008E0E8A">
          <w:rPr>
            <w:rStyle w:val="Hyperlink"/>
          </w:rPr>
          <w:t>XML Survey Data File Submission Procedures</w:t>
        </w:r>
        <w:r>
          <w:rPr>
            <w:webHidden/>
          </w:rPr>
          <w:tab/>
        </w:r>
        <w:r>
          <w:rPr>
            <w:webHidden/>
          </w:rPr>
          <w:fldChar w:fldCharType="begin"/>
        </w:r>
        <w:r>
          <w:rPr>
            <w:webHidden/>
          </w:rPr>
          <w:instrText xml:space="preserve"> PAGEREF _Toc217305620 \h </w:instrText>
        </w:r>
        <w:r>
          <w:rPr>
            <w:webHidden/>
          </w:rPr>
        </w:r>
        <w:r>
          <w:rPr>
            <w:webHidden/>
          </w:rPr>
          <w:fldChar w:fldCharType="separate"/>
        </w:r>
        <w:r>
          <w:rPr>
            <w:webHidden/>
          </w:rPr>
          <w:t>109</w:t>
        </w:r>
        <w:r>
          <w:rPr>
            <w:webHidden/>
          </w:rPr>
          <w:fldChar w:fldCharType="end"/>
        </w:r>
      </w:hyperlink>
    </w:p>
    <w:p w14:paraId="59B3AB83" w14:textId="5C07892C"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1" w:history="1">
        <w:r w:rsidRPr="008E0E8A">
          <w:rPr>
            <w:rStyle w:val="Hyperlink"/>
          </w:rPr>
          <w:t>10.7</w:t>
        </w:r>
        <w:r>
          <w:rPr>
            <w:rFonts w:asciiTheme="minorHAnsi" w:eastAsiaTheme="minorEastAsia" w:hAnsiTheme="minorHAnsi" w:cstheme="minorBidi"/>
            <w:kern w:val="2"/>
            <w:sz w:val="24"/>
            <w14:ligatures w14:val="standardContextual"/>
          </w:rPr>
          <w:tab/>
        </w:r>
        <w:r w:rsidRPr="008E0E8A">
          <w:rPr>
            <w:rStyle w:val="Hyperlink"/>
          </w:rPr>
          <w:t>Data Submission Quality Control Guidelines</w:t>
        </w:r>
        <w:r>
          <w:rPr>
            <w:webHidden/>
          </w:rPr>
          <w:tab/>
        </w:r>
        <w:r>
          <w:rPr>
            <w:webHidden/>
          </w:rPr>
          <w:fldChar w:fldCharType="begin"/>
        </w:r>
        <w:r>
          <w:rPr>
            <w:webHidden/>
          </w:rPr>
          <w:instrText xml:space="preserve"> PAGEREF _Toc217305621 \h </w:instrText>
        </w:r>
        <w:r>
          <w:rPr>
            <w:webHidden/>
          </w:rPr>
        </w:r>
        <w:r>
          <w:rPr>
            <w:webHidden/>
          </w:rPr>
          <w:fldChar w:fldCharType="separate"/>
        </w:r>
        <w:r>
          <w:rPr>
            <w:webHidden/>
          </w:rPr>
          <w:t>111</w:t>
        </w:r>
        <w:r>
          <w:rPr>
            <w:webHidden/>
          </w:rPr>
          <w:fldChar w:fldCharType="end"/>
        </w:r>
      </w:hyperlink>
    </w:p>
    <w:p w14:paraId="5CC7A152" w14:textId="1C8A27AC"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622" w:history="1">
        <w:r w:rsidRPr="008E0E8A">
          <w:rPr>
            <w:rStyle w:val="Hyperlink"/>
          </w:rPr>
          <w:t xml:space="preserve">Chapter 11: Home Health Care </w:t>
        </w:r>
        <w:r w:rsidRPr="008E0E8A">
          <w:rPr>
            <w:rStyle w:val="Hyperlink"/>
            <w:rFonts w:eastAsia="Calibri"/>
          </w:rPr>
          <w:t>CAHPS Survey Website Reports</w:t>
        </w:r>
        <w:r>
          <w:rPr>
            <w:webHidden/>
          </w:rPr>
          <w:tab/>
        </w:r>
        <w:r>
          <w:rPr>
            <w:webHidden/>
          </w:rPr>
          <w:fldChar w:fldCharType="begin"/>
        </w:r>
        <w:r>
          <w:rPr>
            <w:webHidden/>
          </w:rPr>
          <w:instrText xml:space="preserve"> PAGEREF _Toc217305622 \h </w:instrText>
        </w:r>
        <w:r>
          <w:rPr>
            <w:webHidden/>
          </w:rPr>
        </w:r>
        <w:r>
          <w:rPr>
            <w:webHidden/>
          </w:rPr>
          <w:fldChar w:fldCharType="separate"/>
        </w:r>
        <w:r>
          <w:rPr>
            <w:webHidden/>
          </w:rPr>
          <w:t>115</w:t>
        </w:r>
        <w:r>
          <w:rPr>
            <w:webHidden/>
          </w:rPr>
          <w:fldChar w:fldCharType="end"/>
        </w:r>
      </w:hyperlink>
    </w:p>
    <w:p w14:paraId="7184B3BB" w14:textId="4C2C7BAF"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3" w:history="1">
        <w:r w:rsidRPr="008E0E8A">
          <w:rPr>
            <w:rStyle w:val="Hyperlink"/>
            <w:rFonts w:eastAsia="Calibri"/>
          </w:rPr>
          <w:t>11.1</w:t>
        </w:r>
        <w:r>
          <w:rPr>
            <w:rFonts w:asciiTheme="minorHAnsi" w:eastAsiaTheme="minorEastAsia" w:hAnsiTheme="minorHAnsi" w:cstheme="minorBidi"/>
            <w:kern w:val="2"/>
            <w:sz w:val="24"/>
            <w14:ligatures w14:val="standardContextual"/>
          </w:rPr>
          <w:tab/>
        </w:r>
        <w:r w:rsidRPr="008E0E8A">
          <w:rPr>
            <w:rStyle w:val="Hyperlink"/>
            <w:rFonts w:eastAsia="Calibri"/>
          </w:rPr>
          <w:t>Overview</w:t>
        </w:r>
        <w:r>
          <w:rPr>
            <w:webHidden/>
          </w:rPr>
          <w:tab/>
        </w:r>
        <w:r>
          <w:rPr>
            <w:webHidden/>
          </w:rPr>
          <w:fldChar w:fldCharType="begin"/>
        </w:r>
        <w:r>
          <w:rPr>
            <w:webHidden/>
          </w:rPr>
          <w:instrText xml:space="preserve"> PAGEREF _Toc217305623 \h </w:instrText>
        </w:r>
        <w:r>
          <w:rPr>
            <w:webHidden/>
          </w:rPr>
        </w:r>
        <w:r>
          <w:rPr>
            <w:webHidden/>
          </w:rPr>
          <w:fldChar w:fldCharType="separate"/>
        </w:r>
        <w:r>
          <w:rPr>
            <w:webHidden/>
          </w:rPr>
          <w:t>115</w:t>
        </w:r>
        <w:r>
          <w:rPr>
            <w:webHidden/>
          </w:rPr>
          <w:fldChar w:fldCharType="end"/>
        </w:r>
      </w:hyperlink>
    </w:p>
    <w:p w14:paraId="0AF01130" w14:textId="661D38C5"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4" w:history="1">
        <w:r w:rsidRPr="008E0E8A">
          <w:rPr>
            <w:rStyle w:val="Hyperlink"/>
            <w:rFonts w:eastAsia="Calibri"/>
          </w:rPr>
          <w:t>11.2</w:t>
        </w:r>
        <w:r>
          <w:rPr>
            <w:rFonts w:asciiTheme="minorHAnsi" w:eastAsiaTheme="minorEastAsia" w:hAnsiTheme="minorHAnsi" w:cstheme="minorBidi"/>
            <w:kern w:val="2"/>
            <w:sz w:val="24"/>
            <w14:ligatures w14:val="standardContextual"/>
          </w:rPr>
          <w:tab/>
        </w:r>
        <w:r w:rsidRPr="008E0E8A">
          <w:rPr>
            <w:rStyle w:val="Hyperlink"/>
          </w:rPr>
          <w:t>Reports for Survey Vendors</w:t>
        </w:r>
        <w:r>
          <w:rPr>
            <w:webHidden/>
          </w:rPr>
          <w:tab/>
        </w:r>
        <w:r>
          <w:rPr>
            <w:webHidden/>
          </w:rPr>
          <w:fldChar w:fldCharType="begin"/>
        </w:r>
        <w:r>
          <w:rPr>
            <w:webHidden/>
          </w:rPr>
          <w:instrText xml:space="preserve"> PAGEREF _Toc217305624 \h </w:instrText>
        </w:r>
        <w:r>
          <w:rPr>
            <w:webHidden/>
          </w:rPr>
        </w:r>
        <w:r>
          <w:rPr>
            <w:webHidden/>
          </w:rPr>
          <w:fldChar w:fldCharType="separate"/>
        </w:r>
        <w:r>
          <w:rPr>
            <w:webHidden/>
          </w:rPr>
          <w:t>115</w:t>
        </w:r>
        <w:r>
          <w:rPr>
            <w:webHidden/>
          </w:rPr>
          <w:fldChar w:fldCharType="end"/>
        </w:r>
      </w:hyperlink>
    </w:p>
    <w:p w14:paraId="36D0027B" w14:textId="09C0D7D9"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5" w:history="1">
        <w:r w:rsidRPr="008E0E8A">
          <w:rPr>
            <w:rStyle w:val="Hyperlink"/>
          </w:rPr>
          <w:t>11.3</w:t>
        </w:r>
        <w:r>
          <w:rPr>
            <w:rFonts w:asciiTheme="minorHAnsi" w:eastAsiaTheme="minorEastAsia" w:hAnsiTheme="minorHAnsi" w:cstheme="minorBidi"/>
            <w:kern w:val="2"/>
            <w:sz w:val="24"/>
            <w14:ligatures w14:val="standardContextual"/>
          </w:rPr>
          <w:tab/>
        </w:r>
        <w:r w:rsidRPr="008E0E8A">
          <w:rPr>
            <w:rStyle w:val="Hyperlink"/>
          </w:rPr>
          <w:t>Reports for Home Health Agencies</w:t>
        </w:r>
        <w:r>
          <w:rPr>
            <w:webHidden/>
          </w:rPr>
          <w:tab/>
        </w:r>
        <w:r>
          <w:rPr>
            <w:webHidden/>
          </w:rPr>
          <w:fldChar w:fldCharType="begin"/>
        </w:r>
        <w:r>
          <w:rPr>
            <w:webHidden/>
          </w:rPr>
          <w:instrText xml:space="preserve"> PAGEREF _Toc217305625 \h </w:instrText>
        </w:r>
        <w:r>
          <w:rPr>
            <w:webHidden/>
          </w:rPr>
        </w:r>
        <w:r>
          <w:rPr>
            <w:webHidden/>
          </w:rPr>
          <w:fldChar w:fldCharType="separate"/>
        </w:r>
        <w:r>
          <w:rPr>
            <w:webHidden/>
          </w:rPr>
          <w:t>117</w:t>
        </w:r>
        <w:r>
          <w:rPr>
            <w:webHidden/>
          </w:rPr>
          <w:fldChar w:fldCharType="end"/>
        </w:r>
      </w:hyperlink>
    </w:p>
    <w:p w14:paraId="64FBEA52" w14:textId="6576B76B"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626" w:history="1">
        <w:r w:rsidRPr="008E0E8A">
          <w:rPr>
            <w:rStyle w:val="Hyperlink"/>
          </w:rPr>
          <w:t>Chapter 12: Oversight Activities</w:t>
        </w:r>
        <w:r>
          <w:rPr>
            <w:webHidden/>
          </w:rPr>
          <w:tab/>
        </w:r>
        <w:r>
          <w:rPr>
            <w:webHidden/>
          </w:rPr>
          <w:fldChar w:fldCharType="begin"/>
        </w:r>
        <w:r>
          <w:rPr>
            <w:webHidden/>
          </w:rPr>
          <w:instrText xml:space="preserve"> PAGEREF _Toc217305626 \h </w:instrText>
        </w:r>
        <w:r>
          <w:rPr>
            <w:webHidden/>
          </w:rPr>
        </w:r>
        <w:r>
          <w:rPr>
            <w:webHidden/>
          </w:rPr>
          <w:fldChar w:fldCharType="separate"/>
        </w:r>
        <w:r>
          <w:rPr>
            <w:webHidden/>
          </w:rPr>
          <w:t>119</w:t>
        </w:r>
        <w:r>
          <w:rPr>
            <w:webHidden/>
          </w:rPr>
          <w:fldChar w:fldCharType="end"/>
        </w:r>
      </w:hyperlink>
    </w:p>
    <w:p w14:paraId="2F592A20" w14:textId="17BB8A52"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7" w:history="1">
        <w:r w:rsidRPr="008E0E8A">
          <w:rPr>
            <w:rStyle w:val="Hyperlink"/>
          </w:rPr>
          <w:t>12.1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_Toc217305627 \h </w:instrText>
        </w:r>
        <w:r>
          <w:rPr>
            <w:webHidden/>
          </w:rPr>
        </w:r>
        <w:r>
          <w:rPr>
            <w:webHidden/>
          </w:rPr>
          <w:fldChar w:fldCharType="separate"/>
        </w:r>
        <w:r>
          <w:rPr>
            <w:webHidden/>
          </w:rPr>
          <w:t>119</w:t>
        </w:r>
        <w:r>
          <w:rPr>
            <w:webHidden/>
          </w:rPr>
          <w:fldChar w:fldCharType="end"/>
        </w:r>
      </w:hyperlink>
    </w:p>
    <w:p w14:paraId="0AB1DB67" w14:textId="0F6011E2"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8" w:history="1">
        <w:r w:rsidRPr="008E0E8A">
          <w:rPr>
            <w:rStyle w:val="Hyperlink"/>
          </w:rPr>
          <w:t>12.2</w:t>
        </w:r>
        <w:r>
          <w:rPr>
            <w:rFonts w:asciiTheme="minorHAnsi" w:eastAsiaTheme="minorEastAsia" w:hAnsiTheme="minorHAnsi" w:cstheme="minorBidi"/>
            <w:kern w:val="2"/>
            <w:sz w:val="24"/>
            <w14:ligatures w14:val="standardContextual"/>
          </w:rPr>
          <w:tab/>
        </w:r>
        <w:r w:rsidRPr="008E0E8A">
          <w:rPr>
            <w:rStyle w:val="Hyperlink"/>
          </w:rPr>
          <w:t>Quality Assurance Plan</w:t>
        </w:r>
        <w:r>
          <w:rPr>
            <w:webHidden/>
          </w:rPr>
          <w:tab/>
        </w:r>
        <w:r>
          <w:rPr>
            <w:webHidden/>
          </w:rPr>
          <w:fldChar w:fldCharType="begin"/>
        </w:r>
        <w:r>
          <w:rPr>
            <w:webHidden/>
          </w:rPr>
          <w:instrText xml:space="preserve"> PAGEREF _Toc217305628 \h </w:instrText>
        </w:r>
        <w:r>
          <w:rPr>
            <w:webHidden/>
          </w:rPr>
        </w:r>
        <w:r>
          <w:rPr>
            <w:webHidden/>
          </w:rPr>
          <w:fldChar w:fldCharType="separate"/>
        </w:r>
        <w:r>
          <w:rPr>
            <w:webHidden/>
          </w:rPr>
          <w:t>119</w:t>
        </w:r>
        <w:r>
          <w:rPr>
            <w:webHidden/>
          </w:rPr>
          <w:fldChar w:fldCharType="end"/>
        </w:r>
      </w:hyperlink>
    </w:p>
    <w:p w14:paraId="643AC6B9" w14:textId="10A8653C"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29" w:history="1">
        <w:r w:rsidRPr="008E0E8A">
          <w:rPr>
            <w:rStyle w:val="Hyperlink"/>
          </w:rPr>
          <w:t>12.3</w:t>
        </w:r>
        <w:r>
          <w:rPr>
            <w:rFonts w:asciiTheme="minorHAnsi" w:eastAsiaTheme="minorEastAsia" w:hAnsiTheme="minorHAnsi" w:cstheme="minorBidi"/>
            <w:kern w:val="2"/>
            <w:sz w:val="24"/>
            <w14:ligatures w14:val="standardContextual"/>
          </w:rPr>
          <w:tab/>
        </w:r>
        <w:r w:rsidRPr="008E0E8A">
          <w:rPr>
            <w:rStyle w:val="Hyperlink"/>
          </w:rPr>
          <w:t>Data Review</w:t>
        </w:r>
        <w:r>
          <w:rPr>
            <w:webHidden/>
          </w:rPr>
          <w:tab/>
        </w:r>
        <w:r>
          <w:rPr>
            <w:webHidden/>
          </w:rPr>
          <w:fldChar w:fldCharType="begin"/>
        </w:r>
        <w:r>
          <w:rPr>
            <w:webHidden/>
          </w:rPr>
          <w:instrText xml:space="preserve"> PAGEREF _Toc217305629 \h </w:instrText>
        </w:r>
        <w:r>
          <w:rPr>
            <w:webHidden/>
          </w:rPr>
        </w:r>
        <w:r>
          <w:rPr>
            <w:webHidden/>
          </w:rPr>
          <w:fldChar w:fldCharType="separate"/>
        </w:r>
        <w:r>
          <w:rPr>
            <w:webHidden/>
          </w:rPr>
          <w:t>120</w:t>
        </w:r>
        <w:r>
          <w:rPr>
            <w:webHidden/>
          </w:rPr>
          <w:fldChar w:fldCharType="end"/>
        </w:r>
      </w:hyperlink>
    </w:p>
    <w:p w14:paraId="3DE68BE9" w14:textId="5DE52873"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0" w:history="1">
        <w:r w:rsidRPr="008E0E8A">
          <w:rPr>
            <w:rStyle w:val="Hyperlink"/>
          </w:rPr>
          <w:t>12.4</w:t>
        </w:r>
        <w:r>
          <w:rPr>
            <w:rFonts w:asciiTheme="minorHAnsi" w:eastAsiaTheme="minorEastAsia" w:hAnsiTheme="minorHAnsi" w:cstheme="minorBidi"/>
            <w:kern w:val="2"/>
            <w:sz w:val="24"/>
            <w14:ligatures w14:val="standardContextual"/>
          </w:rPr>
          <w:tab/>
        </w:r>
        <w:r w:rsidRPr="008E0E8A">
          <w:rPr>
            <w:rStyle w:val="Hyperlink"/>
          </w:rPr>
          <w:t>Communication Between Survey Vendors and the Coordination Team</w:t>
        </w:r>
        <w:r>
          <w:rPr>
            <w:webHidden/>
          </w:rPr>
          <w:tab/>
        </w:r>
        <w:r>
          <w:rPr>
            <w:webHidden/>
          </w:rPr>
          <w:fldChar w:fldCharType="begin"/>
        </w:r>
        <w:r>
          <w:rPr>
            <w:webHidden/>
          </w:rPr>
          <w:instrText xml:space="preserve"> PAGEREF _Toc217305630 \h </w:instrText>
        </w:r>
        <w:r>
          <w:rPr>
            <w:webHidden/>
          </w:rPr>
        </w:r>
        <w:r>
          <w:rPr>
            <w:webHidden/>
          </w:rPr>
          <w:fldChar w:fldCharType="separate"/>
        </w:r>
        <w:r>
          <w:rPr>
            <w:webHidden/>
          </w:rPr>
          <w:t>121</w:t>
        </w:r>
        <w:r>
          <w:rPr>
            <w:webHidden/>
          </w:rPr>
          <w:fldChar w:fldCharType="end"/>
        </w:r>
      </w:hyperlink>
    </w:p>
    <w:p w14:paraId="50924847" w14:textId="0539E5F0"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1" w:history="1">
        <w:r w:rsidRPr="008E0E8A">
          <w:rPr>
            <w:rStyle w:val="Hyperlink"/>
          </w:rPr>
          <w:t>12.5</w:t>
        </w:r>
        <w:r>
          <w:rPr>
            <w:rFonts w:asciiTheme="minorHAnsi" w:eastAsiaTheme="minorEastAsia" w:hAnsiTheme="minorHAnsi" w:cstheme="minorBidi"/>
            <w:kern w:val="2"/>
            <w:sz w:val="24"/>
            <w14:ligatures w14:val="standardContextual"/>
          </w:rPr>
          <w:tab/>
        </w:r>
        <w:r w:rsidRPr="008E0E8A">
          <w:rPr>
            <w:rStyle w:val="Hyperlink"/>
          </w:rPr>
          <w:t>Site Visits to Survey Vendors</w:t>
        </w:r>
        <w:r>
          <w:rPr>
            <w:webHidden/>
          </w:rPr>
          <w:tab/>
        </w:r>
        <w:r>
          <w:rPr>
            <w:webHidden/>
          </w:rPr>
          <w:fldChar w:fldCharType="begin"/>
        </w:r>
        <w:r>
          <w:rPr>
            <w:webHidden/>
          </w:rPr>
          <w:instrText xml:space="preserve"> PAGEREF _Toc217305631 \h </w:instrText>
        </w:r>
        <w:r>
          <w:rPr>
            <w:webHidden/>
          </w:rPr>
        </w:r>
        <w:r>
          <w:rPr>
            <w:webHidden/>
          </w:rPr>
          <w:fldChar w:fldCharType="separate"/>
        </w:r>
        <w:r>
          <w:rPr>
            <w:webHidden/>
          </w:rPr>
          <w:t>121</w:t>
        </w:r>
        <w:r>
          <w:rPr>
            <w:webHidden/>
          </w:rPr>
          <w:fldChar w:fldCharType="end"/>
        </w:r>
      </w:hyperlink>
    </w:p>
    <w:p w14:paraId="16EBB572" w14:textId="367C5C4E"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2" w:history="1">
        <w:r w:rsidRPr="008E0E8A">
          <w:rPr>
            <w:rStyle w:val="Hyperlink"/>
          </w:rPr>
          <w:t>12.6</w:t>
        </w:r>
        <w:r>
          <w:rPr>
            <w:rFonts w:asciiTheme="minorHAnsi" w:eastAsiaTheme="minorEastAsia" w:hAnsiTheme="minorHAnsi" w:cstheme="minorBidi"/>
            <w:kern w:val="2"/>
            <w:sz w:val="24"/>
            <w14:ligatures w14:val="standardContextual"/>
          </w:rPr>
          <w:tab/>
        </w:r>
        <w:r w:rsidRPr="008E0E8A">
          <w:rPr>
            <w:rStyle w:val="Hyperlink"/>
          </w:rPr>
          <w:t>Corrective Action Plans</w:t>
        </w:r>
        <w:r>
          <w:rPr>
            <w:webHidden/>
          </w:rPr>
          <w:tab/>
        </w:r>
        <w:r>
          <w:rPr>
            <w:webHidden/>
          </w:rPr>
          <w:fldChar w:fldCharType="begin"/>
        </w:r>
        <w:r>
          <w:rPr>
            <w:webHidden/>
          </w:rPr>
          <w:instrText xml:space="preserve"> PAGEREF _Toc217305632 \h </w:instrText>
        </w:r>
        <w:r>
          <w:rPr>
            <w:webHidden/>
          </w:rPr>
        </w:r>
        <w:r>
          <w:rPr>
            <w:webHidden/>
          </w:rPr>
          <w:fldChar w:fldCharType="separate"/>
        </w:r>
        <w:r>
          <w:rPr>
            <w:webHidden/>
          </w:rPr>
          <w:t>123</w:t>
        </w:r>
        <w:r>
          <w:rPr>
            <w:webHidden/>
          </w:rPr>
          <w:fldChar w:fldCharType="end"/>
        </w:r>
      </w:hyperlink>
    </w:p>
    <w:p w14:paraId="6B9C8E3C" w14:textId="53391AEA"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633" w:history="1">
        <w:r w:rsidRPr="008E0E8A">
          <w:rPr>
            <w:rStyle w:val="Hyperlink"/>
          </w:rPr>
          <w:t>Chapter 13: Public Reporting</w:t>
        </w:r>
        <w:r>
          <w:rPr>
            <w:webHidden/>
          </w:rPr>
          <w:tab/>
        </w:r>
        <w:r>
          <w:rPr>
            <w:webHidden/>
          </w:rPr>
          <w:fldChar w:fldCharType="begin"/>
        </w:r>
        <w:r>
          <w:rPr>
            <w:webHidden/>
          </w:rPr>
          <w:instrText xml:space="preserve"> PAGEREF _Toc217305633 \h </w:instrText>
        </w:r>
        <w:r>
          <w:rPr>
            <w:webHidden/>
          </w:rPr>
        </w:r>
        <w:r>
          <w:rPr>
            <w:webHidden/>
          </w:rPr>
          <w:fldChar w:fldCharType="separate"/>
        </w:r>
        <w:r>
          <w:rPr>
            <w:webHidden/>
          </w:rPr>
          <w:t>124</w:t>
        </w:r>
        <w:r>
          <w:rPr>
            <w:webHidden/>
          </w:rPr>
          <w:fldChar w:fldCharType="end"/>
        </w:r>
      </w:hyperlink>
    </w:p>
    <w:p w14:paraId="700979FF" w14:textId="75301DCB"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4" w:history="1">
        <w:r w:rsidRPr="008E0E8A">
          <w:rPr>
            <w:rStyle w:val="Hyperlink"/>
          </w:rPr>
          <w:t>13.1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_Toc217305634 \h </w:instrText>
        </w:r>
        <w:r>
          <w:rPr>
            <w:webHidden/>
          </w:rPr>
        </w:r>
        <w:r>
          <w:rPr>
            <w:webHidden/>
          </w:rPr>
          <w:fldChar w:fldCharType="separate"/>
        </w:r>
        <w:r>
          <w:rPr>
            <w:webHidden/>
          </w:rPr>
          <w:t>124</w:t>
        </w:r>
        <w:r>
          <w:rPr>
            <w:webHidden/>
          </w:rPr>
          <w:fldChar w:fldCharType="end"/>
        </w:r>
      </w:hyperlink>
    </w:p>
    <w:p w14:paraId="369A228C" w14:textId="75D41D39"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5" w:history="1">
        <w:r w:rsidRPr="008E0E8A">
          <w:rPr>
            <w:rStyle w:val="Hyperlink"/>
          </w:rPr>
          <w:t>13.2</w:t>
        </w:r>
        <w:r>
          <w:rPr>
            <w:rFonts w:asciiTheme="minorHAnsi" w:eastAsiaTheme="minorEastAsia" w:hAnsiTheme="minorHAnsi" w:cstheme="minorBidi"/>
            <w:kern w:val="2"/>
            <w:sz w:val="24"/>
            <w14:ligatures w14:val="standardContextual"/>
          </w:rPr>
          <w:tab/>
        </w:r>
        <w:r w:rsidRPr="008E0E8A">
          <w:rPr>
            <w:rStyle w:val="Hyperlink"/>
          </w:rPr>
          <w:t>Measures That Are Reported Through Quarter 1, 2026</w:t>
        </w:r>
        <w:r>
          <w:rPr>
            <w:webHidden/>
          </w:rPr>
          <w:tab/>
        </w:r>
        <w:r>
          <w:rPr>
            <w:webHidden/>
          </w:rPr>
          <w:fldChar w:fldCharType="begin"/>
        </w:r>
        <w:r>
          <w:rPr>
            <w:webHidden/>
          </w:rPr>
          <w:instrText xml:space="preserve"> PAGEREF _Toc217305635 \h </w:instrText>
        </w:r>
        <w:r>
          <w:rPr>
            <w:webHidden/>
          </w:rPr>
        </w:r>
        <w:r>
          <w:rPr>
            <w:webHidden/>
          </w:rPr>
          <w:fldChar w:fldCharType="separate"/>
        </w:r>
        <w:r>
          <w:rPr>
            <w:webHidden/>
          </w:rPr>
          <w:t>124</w:t>
        </w:r>
        <w:r>
          <w:rPr>
            <w:webHidden/>
          </w:rPr>
          <w:fldChar w:fldCharType="end"/>
        </w:r>
      </w:hyperlink>
    </w:p>
    <w:p w14:paraId="522C38E3" w14:textId="7FB10815"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6" w:history="1">
        <w:r w:rsidRPr="008E0E8A">
          <w:rPr>
            <w:rStyle w:val="Hyperlink"/>
          </w:rPr>
          <w:t>13.3</w:t>
        </w:r>
        <w:r>
          <w:rPr>
            <w:rFonts w:asciiTheme="minorHAnsi" w:eastAsiaTheme="minorEastAsia" w:hAnsiTheme="minorHAnsi" w:cstheme="minorBidi"/>
            <w:kern w:val="2"/>
            <w:sz w:val="24"/>
            <w14:ligatures w14:val="standardContextual"/>
          </w:rPr>
          <w:tab/>
        </w:r>
        <w:r w:rsidRPr="008E0E8A">
          <w:rPr>
            <w:rStyle w:val="Hyperlink"/>
          </w:rPr>
          <w:t>Future Measures That Will Be Reported</w:t>
        </w:r>
        <w:r>
          <w:rPr>
            <w:webHidden/>
          </w:rPr>
          <w:tab/>
        </w:r>
        <w:r>
          <w:rPr>
            <w:webHidden/>
          </w:rPr>
          <w:fldChar w:fldCharType="begin"/>
        </w:r>
        <w:r>
          <w:rPr>
            <w:webHidden/>
          </w:rPr>
          <w:instrText xml:space="preserve"> PAGEREF _Toc217305636 \h </w:instrText>
        </w:r>
        <w:r>
          <w:rPr>
            <w:webHidden/>
          </w:rPr>
        </w:r>
        <w:r>
          <w:rPr>
            <w:webHidden/>
          </w:rPr>
          <w:fldChar w:fldCharType="separate"/>
        </w:r>
        <w:r>
          <w:rPr>
            <w:webHidden/>
          </w:rPr>
          <w:t>125</w:t>
        </w:r>
        <w:r>
          <w:rPr>
            <w:webHidden/>
          </w:rPr>
          <w:fldChar w:fldCharType="end"/>
        </w:r>
      </w:hyperlink>
    </w:p>
    <w:p w14:paraId="058F491D" w14:textId="5AAE02FC"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7" w:history="1">
        <w:r w:rsidRPr="008E0E8A">
          <w:rPr>
            <w:rStyle w:val="Hyperlink"/>
          </w:rPr>
          <w:t>13.4</w:t>
        </w:r>
        <w:r>
          <w:rPr>
            <w:rFonts w:asciiTheme="minorHAnsi" w:eastAsiaTheme="minorEastAsia" w:hAnsiTheme="minorHAnsi" w:cstheme="minorBidi"/>
            <w:kern w:val="2"/>
            <w:sz w:val="24"/>
            <w14:ligatures w14:val="standardContextual"/>
          </w:rPr>
          <w:tab/>
        </w:r>
        <w:r w:rsidRPr="008E0E8A">
          <w:rPr>
            <w:rStyle w:val="Hyperlink"/>
          </w:rPr>
          <w:t>Adjustment and Reporting of Results</w:t>
        </w:r>
        <w:r>
          <w:rPr>
            <w:webHidden/>
          </w:rPr>
          <w:tab/>
        </w:r>
        <w:r>
          <w:rPr>
            <w:webHidden/>
          </w:rPr>
          <w:fldChar w:fldCharType="begin"/>
        </w:r>
        <w:r>
          <w:rPr>
            <w:webHidden/>
          </w:rPr>
          <w:instrText xml:space="preserve"> PAGEREF _Toc217305637 \h </w:instrText>
        </w:r>
        <w:r>
          <w:rPr>
            <w:webHidden/>
          </w:rPr>
        </w:r>
        <w:r>
          <w:rPr>
            <w:webHidden/>
          </w:rPr>
          <w:fldChar w:fldCharType="separate"/>
        </w:r>
        <w:r>
          <w:rPr>
            <w:webHidden/>
          </w:rPr>
          <w:t>125</w:t>
        </w:r>
        <w:r>
          <w:rPr>
            <w:webHidden/>
          </w:rPr>
          <w:fldChar w:fldCharType="end"/>
        </w:r>
      </w:hyperlink>
    </w:p>
    <w:p w14:paraId="64F49F8C" w14:textId="29D8C094"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8" w:history="1">
        <w:r w:rsidRPr="008E0E8A">
          <w:rPr>
            <w:rStyle w:val="Hyperlink"/>
          </w:rPr>
          <w:t>13.5</w:t>
        </w:r>
        <w:r>
          <w:rPr>
            <w:rFonts w:asciiTheme="minorHAnsi" w:eastAsiaTheme="minorEastAsia" w:hAnsiTheme="minorHAnsi" w:cstheme="minorBidi"/>
            <w:kern w:val="2"/>
            <w:sz w:val="24"/>
            <w14:ligatures w14:val="standardContextual"/>
          </w:rPr>
          <w:tab/>
        </w:r>
        <w:r w:rsidRPr="008E0E8A">
          <w:rPr>
            <w:rStyle w:val="Hyperlink"/>
          </w:rPr>
          <w:t>Star Ratings</w:t>
        </w:r>
        <w:r>
          <w:rPr>
            <w:webHidden/>
          </w:rPr>
          <w:tab/>
        </w:r>
        <w:r>
          <w:rPr>
            <w:webHidden/>
          </w:rPr>
          <w:fldChar w:fldCharType="begin"/>
        </w:r>
        <w:r>
          <w:rPr>
            <w:webHidden/>
          </w:rPr>
          <w:instrText xml:space="preserve"> PAGEREF _Toc217305638 \h </w:instrText>
        </w:r>
        <w:r>
          <w:rPr>
            <w:webHidden/>
          </w:rPr>
        </w:r>
        <w:r>
          <w:rPr>
            <w:webHidden/>
          </w:rPr>
          <w:fldChar w:fldCharType="separate"/>
        </w:r>
        <w:r>
          <w:rPr>
            <w:webHidden/>
          </w:rPr>
          <w:t>126</w:t>
        </w:r>
        <w:r>
          <w:rPr>
            <w:webHidden/>
          </w:rPr>
          <w:fldChar w:fldCharType="end"/>
        </w:r>
      </w:hyperlink>
    </w:p>
    <w:p w14:paraId="179998AD" w14:textId="35A54F71"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39" w:history="1">
        <w:r w:rsidRPr="008E0E8A">
          <w:rPr>
            <w:rStyle w:val="Hyperlink"/>
          </w:rPr>
          <w:t>13.6</w:t>
        </w:r>
        <w:r>
          <w:rPr>
            <w:rFonts w:asciiTheme="minorHAnsi" w:eastAsiaTheme="minorEastAsia" w:hAnsiTheme="minorHAnsi" w:cstheme="minorBidi"/>
            <w:kern w:val="2"/>
            <w:sz w:val="24"/>
            <w14:ligatures w14:val="standardContextual"/>
          </w:rPr>
          <w:tab/>
        </w:r>
        <w:r w:rsidRPr="008E0E8A">
          <w:rPr>
            <w:rStyle w:val="Hyperlink"/>
          </w:rPr>
          <w:t>Agency Preview Reports</w:t>
        </w:r>
        <w:r>
          <w:rPr>
            <w:webHidden/>
          </w:rPr>
          <w:tab/>
        </w:r>
        <w:r>
          <w:rPr>
            <w:webHidden/>
          </w:rPr>
          <w:fldChar w:fldCharType="begin"/>
        </w:r>
        <w:r>
          <w:rPr>
            <w:webHidden/>
          </w:rPr>
          <w:instrText xml:space="preserve"> PAGEREF _Toc217305639 \h </w:instrText>
        </w:r>
        <w:r>
          <w:rPr>
            <w:webHidden/>
          </w:rPr>
        </w:r>
        <w:r>
          <w:rPr>
            <w:webHidden/>
          </w:rPr>
          <w:fldChar w:fldCharType="separate"/>
        </w:r>
        <w:r>
          <w:rPr>
            <w:webHidden/>
          </w:rPr>
          <w:t>127</w:t>
        </w:r>
        <w:r>
          <w:rPr>
            <w:webHidden/>
          </w:rPr>
          <w:fldChar w:fldCharType="end"/>
        </w:r>
      </w:hyperlink>
    </w:p>
    <w:p w14:paraId="7A82DE04" w14:textId="1B744FA7"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40" w:history="1">
        <w:r w:rsidRPr="008E0E8A">
          <w:rPr>
            <w:rStyle w:val="Hyperlink"/>
          </w:rPr>
          <w:t>13.7</w:t>
        </w:r>
        <w:r>
          <w:rPr>
            <w:rFonts w:asciiTheme="minorHAnsi" w:eastAsiaTheme="minorEastAsia" w:hAnsiTheme="minorHAnsi" w:cstheme="minorBidi"/>
            <w:kern w:val="2"/>
            <w:sz w:val="24"/>
            <w14:ligatures w14:val="standardContextual"/>
          </w:rPr>
          <w:tab/>
        </w:r>
        <w:r w:rsidRPr="008E0E8A">
          <w:rPr>
            <w:rStyle w:val="Hyperlink"/>
          </w:rPr>
          <w:t>Public Reporting Periods</w:t>
        </w:r>
        <w:r>
          <w:rPr>
            <w:webHidden/>
          </w:rPr>
          <w:tab/>
        </w:r>
        <w:r>
          <w:rPr>
            <w:webHidden/>
          </w:rPr>
          <w:fldChar w:fldCharType="begin"/>
        </w:r>
        <w:r>
          <w:rPr>
            <w:webHidden/>
          </w:rPr>
          <w:instrText xml:space="preserve"> PAGEREF _Toc217305640 \h </w:instrText>
        </w:r>
        <w:r>
          <w:rPr>
            <w:webHidden/>
          </w:rPr>
        </w:r>
        <w:r>
          <w:rPr>
            <w:webHidden/>
          </w:rPr>
          <w:fldChar w:fldCharType="separate"/>
        </w:r>
        <w:r>
          <w:rPr>
            <w:webHidden/>
          </w:rPr>
          <w:t>127</w:t>
        </w:r>
        <w:r>
          <w:rPr>
            <w:webHidden/>
          </w:rPr>
          <w:fldChar w:fldCharType="end"/>
        </w:r>
      </w:hyperlink>
    </w:p>
    <w:p w14:paraId="098C3000" w14:textId="0D62A27F" w:rsidR="00C40D67" w:rsidRDefault="00C40D67">
      <w:pPr>
        <w:pStyle w:val="TOC1"/>
        <w:rPr>
          <w:rFonts w:asciiTheme="minorHAnsi" w:eastAsiaTheme="minorEastAsia" w:hAnsiTheme="minorHAnsi" w:cstheme="minorBidi"/>
          <w:b w:val="0"/>
          <w:i w:val="0"/>
          <w:kern w:val="2"/>
          <w:sz w:val="24"/>
          <w:szCs w:val="24"/>
          <w14:ligatures w14:val="standardContextual"/>
        </w:rPr>
      </w:pPr>
      <w:hyperlink w:anchor="_Toc217305641" w:history="1">
        <w:r w:rsidRPr="008E0E8A">
          <w:rPr>
            <w:rStyle w:val="Hyperlink"/>
          </w:rPr>
          <w:t>Chapter 14: Exceptions Request Process and Discrepancy Notification Report</w:t>
        </w:r>
        <w:r>
          <w:rPr>
            <w:webHidden/>
          </w:rPr>
          <w:tab/>
        </w:r>
        <w:r>
          <w:rPr>
            <w:webHidden/>
          </w:rPr>
          <w:fldChar w:fldCharType="begin"/>
        </w:r>
        <w:r>
          <w:rPr>
            <w:webHidden/>
          </w:rPr>
          <w:instrText xml:space="preserve"> PAGEREF _Toc217305641 \h </w:instrText>
        </w:r>
        <w:r>
          <w:rPr>
            <w:webHidden/>
          </w:rPr>
        </w:r>
        <w:r>
          <w:rPr>
            <w:webHidden/>
          </w:rPr>
          <w:fldChar w:fldCharType="separate"/>
        </w:r>
        <w:r>
          <w:rPr>
            <w:webHidden/>
          </w:rPr>
          <w:t>128</w:t>
        </w:r>
        <w:r>
          <w:rPr>
            <w:webHidden/>
          </w:rPr>
          <w:fldChar w:fldCharType="end"/>
        </w:r>
      </w:hyperlink>
    </w:p>
    <w:p w14:paraId="621A1CE1" w14:textId="343FCFD0"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42" w:history="1">
        <w:r w:rsidRPr="008E0E8A">
          <w:rPr>
            <w:rStyle w:val="Hyperlink"/>
          </w:rPr>
          <w:t>14.1</w:t>
        </w:r>
        <w:r>
          <w:rPr>
            <w:rFonts w:asciiTheme="minorHAnsi" w:eastAsiaTheme="minorEastAsia" w:hAnsiTheme="minorHAnsi" w:cstheme="minorBidi"/>
            <w:kern w:val="2"/>
            <w:sz w:val="24"/>
            <w14:ligatures w14:val="standardContextual"/>
          </w:rPr>
          <w:tab/>
        </w:r>
        <w:r w:rsidRPr="008E0E8A">
          <w:rPr>
            <w:rStyle w:val="Hyperlink"/>
          </w:rPr>
          <w:t>Overview</w:t>
        </w:r>
        <w:r>
          <w:rPr>
            <w:webHidden/>
          </w:rPr>
          <w:tab/>
        </w:r>
        <w:r>
          <w:rPr>
            <w:webHidden/>
          </w:rPr>
          <w:fldChar w:fldCharType="begin"/>
        </w:r>
        <w:r>
          <w:rPr>
            <w:webHidden/>
          </w:rPr>
          <w:instrText xml:space="preserve"> PAGEREF _Toc217305642 \h </w:instrText>
        </w:r>
        <w:r>
          <w:rPr>
            <w:webHidden/>
          </w:rPr>
        </w:r>
        <w:r>
          <w:rPr>
            <w:webHidden/>
          </w:rPr>
          <w:fldChar w:fldCharType="separate"/>
        </w:r>
        <w:r>
          <w:rPr>
            <w:webHidden/>
          </w:rPr>
          <w:t>128</w:t>
        </w:r>
        <w:r>
          <w:rPr>
            <w:webHidden/>
          </w:rPr>
          <w:fldChar w:fldCharType="end"/>
        </w:r>
      </w:hyperlink>
    </w:p>
    <w:p w14:paraId="1ED2DC60" w14:textId="12E9D3FA"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43" w:history="1">
        <w:r w:rsidRPr="008E0E8A">
          <w:rPr>
            <w:rStyle w:val="Hyperlink"/>
          </w:rPr>
          <w:t>14.2</w:t>
        </w:r>
        <w:r>
          <w:rPr>
            <w:rFonts w:asciiTheme="minorHAnsi" w:eastAsiaTheme="minorEastAsia" w:hAnsiTheme="minorHAnsi" w:cstheme="minorBidi"/>
            <w:kern w:val="2"/>
            <w:sz w:val="24"/>
            <w14:ligatures w14:val="standardContextual"/>
          </w:rPr>
          <w:tab/>
        </w:r>
        <w:r w:rsidRPr="008E0E8A">
          <w:rPr>
            <w:rStyle w:val="Hyperlink"/>
          </w:rPr>
          <w:t>Exceptions Request Process</w:t>
        </w:r>
        <w:r>
          <w:rPr>
            <w:webHidden/>
          </w:rPr>
          <w:tab/>
        </w:r>
        <w:r>
          <w:rPr>
            <w:webHidden/>
          </w:rPr>
          <w:fldChar w:fldCharType="begin"/>
        </w:r>
        <w:r>
          <w:rPr>
            <w:webHidden/>
          </w:rPr>
          <w:instrText xml:space="preserve"> PAGEREF _Toc217305643 \h </w:instrText>
        </w:r>
        <w:r>
          <w:rPr>
            <w:webHidden/>
          </w:rPr>
        </w:r>
        <w:r>
          <w:rPr>
            <w:webHidden/>
          </w:rPr>
          <w:fldChar w:fldCharType="separate"/>
        </w:r>
        <w:r>
          <w:rPr>
            <w:webHidden/>
          </w:rPr>
          <w:t>128</w:t>
        </w:r>
        <w:r>
          <w:rPr>
            <w:webHidden/>
          </w:rPr>
          <w:fldChar w:fldCharType="end"/>
        </w:r>
      </w:hyperlink>
    </w:p>
    <w:p w14:paraId="1A5D134A" w14:textId="712C30AE" w:rsidR="00C40D67" w:rsidRDefault="00C40D67">
      <w:pPr>
        <w:pStyle w:val="TOC2"/>
        <w:tabs>
          <w:tab w:val="left" w:pos="1620"/>
        </w:tabs>
        <w:rPr>
          <w:rFonts w:asciiTheme="minorHAnsi" w:eastAsiaTheme="minorEastAsia" w:hAnsiTheme="minorHAnsi" w:cstheme="minorBidi"/>
          <w:kern w:val="2"/>
          <w:sz w:val="24"/>
          <w14:ligatures w14:val="standardContextual"/>
        </w:rPr>
      </w:pPr>
      <w:hyperlink w:anchor="_Toc217305644" w:history="1">
        <w:r w:rsidRPr="008E0E8A">
          <w:rPr>
            <w:rStyle w:val="Hyperlink"/>
          </w:rPr>
          <w:t>14.3</w:t>
        </w:r>
        <w:r>
          <w:rPr>
            <w:rFonts w:asciiTheme="minorHAnsi" w:eastAsiaTheme="minorEastAsia" w:hAnsiTheme="minorHAnsi" w:cstheme="minorBidi"/>
            <w:kern w:val="2"/>
            <w:sz w:val="24"/>
            <w14:ligatures w14:val="standardContextual"/>
          </w:rPr>
          <w:tab/>
        </w:r>
        <w:r w:rsidRPr="008E0E8A">
          <w:rPr>
            <w:rStyle w:val="Hyperlink"/>
          </w:rPr>
          <w:t>Discrepancy Notification Report</w:t>
        </w:r>
        <w:r>
          <w:rPr>
            <w:webHidden/>
          </w:rPr>
          <w:tab/>
        </w:r>
        <w:r>
          <w:rPr>
            <w:webHidden/>
          </w:rPr>
          <w:fldChar w:fldCharType="begin"/>
        </w:r>
        <w:r>
          <w:rPr>
            <w:webHidden/>
          </w:rPr>
          <w:instrText xml:space="preserve"> PAGEREF _Toc217305644 \h </w:instrText>
        </w:r>
        <w:r>
          <w:rPr>
            <w:webHidden/>
          </w:rPr>
        </w:r>
        <w:r>
          <w:rPr>
            <w:webHidden/>
          </w:rPr>
          <w:fldChar w:fldCharType="separate"/>
        </w:r>
        <w:r>
          <w:rPr>
            <w:webHidden/>
          </w:rPr>
          <w:t>130</w:t>
        </w:r>
        <w:r>
          <w:rPr>
            <w:webHidden/>
          </w:rPr>
          <w:fldChar w:fldCharType="end"/>
        </w:r>
      </w:hyperlink>
    </w:p>
    <w:p w14:paraId="4F7B4A87" w14:textId="7FB9AB23" w:rsidR="008A24F6" w:rsidRPr="002513B4" w:rsidRDefault="00EE74F9" w:rsidP="00FD51D8">
      <w:pPr>
        <w:pStyle w:val="TOC2"/>
        <w:rPr>
          <w:noProof w:val="0"/>
        </w:rPr>
      </w:pPr>
      <w:r w:rsidRPr="002513B4">
        <w:rPr>
          <w:noProof w:val="0"/>
          <w:sz w:val="28"/>
          <w:szCs w:val="20"/>
        </w:rPr>
        <w:fldChar w:fldCharType="end"/>
      </w:r>
      <w:r w:rsidRPr="002513B4">
        <w:rPr>
          <w:noProof w:val="0"/>
        </w:rPr>
        <w:fldChar w:fldCharType="begin"/>
      </w:r>
      <w:r w:rsidRPr="002513B4">
        <w:rPr>
          <w:noProof w:val="0"/>
        </w:rPr>
        <w:instrText xml:space="preserve"> TOC \n \h \z \t "AppendixHeadingTOC,1" </w:instrText>
      </w:r>
      <w:r w:rsidRPr="002513B4">
        <w:rPr>
          <w:noProof w:val="0"/>
        </w:rPr>
        <w:fldChar w:fldCharType="separate"/>
      </w:r>
    </w:p>
    <w:p w14:paraId="47E70D83" w14:textId="5DF1CC45" w:rsidR="008A24F6" w:rsidRPr="002513B4" w:rsidRDefault="008A24F6">
      <w:pPr>
        <w:pStyle w:val="TOC1"/>
        <w:rPr>
          <w:noProof w:val="0"/>
        </w:rPr>
      </w:pPr>
      <w:hyperlink w:anchor="_Toc205821386" w:history="1">
        <w:r w:rsidRPr="002513B4">
          <w:rPr>
            <w:rStyle w:val="Hyperlink"/>
            <w:noProof w:val="0"/>
          </w:rPr>
          <w:t>Appendix A:  Links for HHCAHPS Resources and Supplemental Materials</w:t>
        </w:r>
      </w:hyperlink>
    </w:p>
    <w:p w14:paraId="10CCF2C1" w14:textId="77777777" w:rsidR="00150E99" w:rsidRPr="002513B4" w:rsidRDefault="00EE74F9" w:rsidP="00150E99">
      <w:pPr>
        <w:pStyle w:val="TOC1Apps"/>
        <w:ind w:left="1620"/>
        <w:rPr>
          <w:noProof w:val="0"/>
        </w:rPr>
      </w:pPr>
      <w:r w:rsidRPr="002513B4">
        <w:rPr>
          <w:noProof w:val="0"/>
        </w:rPr>
        <w:fldChar w:fldCharType="end"/>
      </w:r>
    </w:p>
    <w:p w14:paraId="395F82A2" w14:textId="5892BF97" w:rsidR="00EE74F9" w:rsidRPr="002513B4" w:rsidRDefault="00EE74F9" w:rsidP="00150E99">
      <w:pPr>
        <w:pStyle w:val="TOC1Apps"/>
        <w:ind w:left="1620"/>
        <w:rPr>
          <w:b w:val="0"/>
          <w:bCs/>
          <w:i w:val="0"/>
          <w:iCs/>
          <w:noProof w:val="0"/>
          <w:sz w:val="22"/>
          <w:szCs w:val="22"/>
        </w:rPr>
      </w:pPr>
      <w:r w:rsidRPr="002513B4">
        <w:rPr>
          <w:bCs/>
          <w:iCs/>
          <w:noProof w:val="0"/>
          <w:sz w:val="22"/>
          <w:szCs w:val="22"/>
        </w:rPr>
        <w:t>Exhibits</w:t>
      </w:r>
    </w:p>
    <w:p w14:paraId="49CB1492" w14:textId="0422278C" w:rsidR="00687F9D" w:rsidRPr="002513B4" w:rsidRDefault="00EE74F9">
      <w:pPr>
        <w:pStyle w:val="TableofFigures"/>
        <w:contextualSpacing/>
        <w:rPr>
          <w:rFonts w:asciiTheme="minorHAnsi" w:eastAsiaTheme="minorEastAsia" w:hAnsiTheme="minorHAnsi" w:cstheme="minorBidi"/>
          <w:kern w:val="2"/>
          <w:sz w:val="24"/>
          <w:szCs w:val="24"/>
          <w:lang w:eastAsia="zh-CN"/>
          <w14:ligatures w14:val="standardContextual"/>
        </w:rPr>
      </w:pPr>
      <w:r w:rsidRPr="002513B4">
        <w:rPr>
          <w:rStyle w:val="Hyperlink"/>
          <w:noProof w:val="0"/>
          <w:color w:val="auto"/>
          <w:u w:val="none"/>
        </w:rPr>
        <w:fldChar w:fldCharType="begin"/>
      </w:r>
      <w:r w:rsidRPr="002513B4">
        <w:rPr>
          <w:rStyle w:val="Hyperlink"/>
          <w:noProof w:val="0"/>
          <w:color w:val="auto"/>
          <w:u w:val="none"/>
        </w:rPr>
        <w:instrText xml:space="preserve"> TOC \h \z \t "Exhibit Caption" \c </w:instrText>
      </w:r>
      <w:r w:rsidRPr="002513B4">
        <w:rPr>
          <w:rStyle w:val="Hyperlink"/>
          <w:noProof w:val="0"/>
          <w:color w:val="auto"/>
          <w:u w:val="none"/>
        </w:rPr>
        <w:fldChar w:fldCharType="separate"/>
      </w:r>
      <w:hyperlink w:anchor="_Toc217024894" w:history="1">
        <w:r w:rsidR="00687F9D" w:rsidRPr="002513B4">
          <w:rPr>
            <w:rStyle w:val="Hyperlink"/>
          </w:rPr>
          <w:t>9.1a When it is Acceptable to Code a Response</w:t>
        </w:r>
        <w:r w:rsidR="00687F9D" w:rsidRPr="002513B4">
          <w:rPr>
            <w:webHidden/>
          </w:rPr>
          <w:tab/>
        </w:r>
        <w:r w:rsidR="00687F9D" w:rsidRPr="002513B4">
          <w:rPr>
            <w:webHidden/>
          </w:rPr>
          <w:fldChar w:fldCharType="begin"/>
        </w:r>
        <w:r w:rsidR="00687F9D" w:rsidRPr="002513B4">
          <w:rPr>
            <w:webHidden/>
          </w:rPr>
          <w:instrText xml:space="preserve"> PAGEREF _Toc217024894 \h </w:instrText>
        </w:r>
        <w:r w:rsidR="00687F9D" w:rsidRPr="002513B4">
          <w:rPr>
            <w:webHidden/>
          </w:rPr>
        </w:r>
        <w:r w:rsidR="00687F9D" w:rsidRPr="002513B4">
          <w:rPr>
            <w:webHidden/>
          </w:rPr>
          <w:fldChar w:fldCharType="separate"/>
        </w:r>
        <w:r w:rsidR="00C40D67">
          <w:rPr>
            <w:webHidden/>
          </w:rPr>
          <w:t>83</w:t>
        </w:r>
        <w:r w:rsidR="00687F9D" w:rsidRPr="002513B4">
          <w:rPr>
            <w:webHidden/>
          </w:rPr>
          <w:fldChar w:fldCharType="end"/>
        </w:r>
      </w:hyperlink>
    </w:p>
    <w:p w14:paraId="0EE10D45" w14:textId="3A1296E4"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895" w:history="1">
        <w:r w:rsidRPr="002513B4">
          <w:rPr>
            <w:rStyle w:val="Hyperlink"/>
          </w:rPr>
          <w:t>9.1b When it is NOT Acceptable to Code a Response</w:t>
        </w:r>
        <w:r w:rsidRPr="002513B4">
          <w:rPr>
            <w:webHidden/>
          </w:rPr>
          <w:tab/>
        </w:r>
        <w:r w:rsidRPr="002513B4">
          <w:rPr>
            <w:webHidden/>
          </w:rPr>
          <w:fldChar w:fldCharType="begin"/>
        </w:r>
        <w:r w:rsidRPr="002513B4">
          <w:rPr>
            <w:webHidden/>
          </w:rPr>
          <w:instrText xml:space="preserve"> PAGEREF _Toc217024895 \h </w:instrText>
        </w:r>
        <w:r w:rsidRPr="002513B4">
          <w:rPr>
            <w:webHidden/>
          </w:rPr>
        </w:r>
        <w:r w:rsidRPr="002513B4">
          <w:rPr>
            <w:webHidden/>
          </w:rPr>
          <w:fldChar w:fldCharType="separate"/>
        </w:r>
        <w:r w:rsidR="00C40D67">
          <w:rPr>
            <w:webHidden/>
          </w:rPr>
          <w:t>84</w:t>
        </w:r>
        <w:r w:rsidRPr="002513B4">
          <w:rPr>
            <w:webHidden/>
          </w:rPr>
          <w:fldChar w:fldCharType="end"/>
        </w:r>
      </w:hyperlink>
    </w:p>
    <w:p w14:paraId="6AC6B694" w14:textId="6460E648"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896" w:history="1">
        <w:r w:rsidRPr="002513B4">
          <w:rPr>
            <w:rStyle w:val="Hyperlink"/>
          </w:rPr>
          <w:t>9.2 When to Assign the Proxy Flag</w:t>
        </w:r>
        <w:r w:rsidRPr="002513B4">
          <w:rPr>
            <w:webHidden/>
          </w:rPr>
          <w:tab/>
        </w:r>
        <w:r w:rsidRPr="002513B4">
          <w:rPr>
            <w:webHidden/>
          </w:rPr>
          <w:fldChar w:fldCharType="begin"/>
        </w:r>
        <w:r w:rsidRPr="002513B4">
          <w:rPr>
            <w:webHidden/>
          </w:rPr>
          <w:instrText xml:space="preserve"> PAGEREF _Toc217024896 \h </w:instrText>
        </w:r>
        <w:r w:rsidRPr="002513B4">
          <w:rPr>
            <w:webHidden/>
          </w:rPr>
        </w:r>
        <w:r w:rsidRPr="002513B4">
          <w:rPr>
            <w:webHidden/>
          </w:rPr>
          <w:fldChar w:fldCharType="separate"/>
        </w:r>
        <w:r w:rsidR="00C40D67">
          <w:rPr>
            <w:webHidden/>
          </w:rPr>
          <w:t>89</w:t>
        </w:r>
        <w:r w:rsidRPr="002513B4">
          <w:rPr>
            <w:webHidden/>
          </w:rPr>
          <w:fldChar w:fldCharType="end"/>
        </w:r>
      </w:hyperlink>
    </w:p>
    <w:p w14:paraId="6457338A" w14:textId="4FC5069D"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897" w:history="1">
        <w:r w:rsidRPr="002513B4">
          <w:rPr>
            <w:rStyle w:val="Hyperlink"/>
          </w:rPr>
          <w:t>9.3 Steps for Determining Whether a Questionnaire Meets Completeness Criteria</w:t>
        </w:r>
        <w:r w:rsidRPr="002513B4">
          <w:rPr>
            <w:webHidden/>
          </w:rPr>
          <w:tab/>
        </w:r>
        <w:r w:rsidRPr="002513B4">
          <w:rPr>
            <w:webHidden/>
          </w:rPr>
          <w:fldChar w:fldCharType="begin"/>
        </w:r>
        <w:r w:rsidRPr="002513B4">
          <w:rPr>
            <w:webHidden/>
          </w:rPr>
          <w:instrText xml:space="preserve"> PAGEREF _Toc217024897 \h </w:instrText>
        </w:r>
        <w:r w:rsidRPr="002513B4">
          <w:rPr>
            <w:webHidden/>
          </w:rPr>
        </w:r>
        <w:r w:rsidRPr="002513B4">
          <w:rPr>
            <w:webHidden/>
          </w:rPr>
          <w:fldChar w:fldCharType="separate"/>
        </w:r>
        <w:r w:rsidR="00C40D67">
          <w:rPr>
            <w:webHidden/>
          </w:rPr>
          <w:t>89</w:t>
        </w:r>
        <w:r w:rsidRPr="002513B4">
          <w:rPr>
            <w:webHidden/>
          </w:rPr>
          <w:fldChar w:fldCharType="end"/>
        </w:r>
      </w:hyperlink>
    </w:p>
    <w:p w14:paraId="00612501" w14:textId="285B8BAC"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898" w:history="1">
        <w:r w:rsidRPr="002513B4">
          <w:rPr>
            <w:rStyle w:val="Hyperlink"/>
          </w:rPr>
          <w:t>9.4 How Response Rates Are Calculated</w:t>
        </w:r>
        <w:r w:rsidRPr="002513B4">
          <w:rPr>
            <w:webHidden/>
          </w:rPr>
          <w:tab/>
        </w:r>
        <w:r w:rsidRPr="002513B4">
          <w:rPr>
            <w:webHidden/>
          </w:rPr>
          <w:fldChar w:fldCharType="begin"/>
        </w:r>
        <w:r w:rsidRPr="002513B4">
          <w:rPr>
            <w:webHidden/>
          </w:rPr>
          <w:instrText xml:space="preserve"> PAGEREF _Toc217024898 \h </w:instrText>
        </w:r>
        <w:r w:rsidRPr="002513B4">
          <w:rPr>
            <w:webHidden/>
          </w:rPr>
        </w:r>
        <w:r w:rsidRPr="002513B4">
          <w:rPr>
            <w:webHidden/>
          </w:rPr>
          <w:fldChar w:fldCharType="separate"/>
        </w:r>
        <w:r w:rsidR="00C40D67">
          <w:rPr>
            <w:webHidden/>
          </w:rPr>
          <w:t>90</w:t>
        </w:r>
        <w:r w:rsidRPr="002513B4">
          <w:rPr>
            <w:webHidden/>
          </w:rPr>
          <w:fldChar w:fldCharType="end"/>
        </w:r>
      </w:hyperlink>
    </w:p>
    <w:p w14:paraId="29D5521C" w14:textId="7B574C8D"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899" w:history="1">
        <w:r w:rsidRPr="002513B4">
          <w:rPr>
            <w:rStyle w:val="Hyperlink"/>
          </w:rPr>
          <w:t>10.1 HHCAHPS Survey Website Navigation Menu</w:t>
        </w:r>
        <w:r w:rsidRPr="002513B4">
          <w:rPr>
            <w:webHidden/>
          </w:rPr>
          <w:tab/>
        </w:r>
        <w:r w:rsidRPr="002513B4">
          <w:rPr>
            <w:webHidden/>
          </w:rPr>
          <w:fldChar w:fldCharType="begin"/>
        </w:r>
        <w:r w:rsidRPr="002513B4">
          <w:rPr>
            <w:webHidden/>
          </w:rPr>
          <w:instrText xml:space="preserve"> PAGEREF _Toc217024899 \h </w:instrText>
        </w:r>
        <w:r w:rsidRPr="002513B4">
          <w:rPr>
            <w:webHidden/>
          </w:rPr>
        </w:r>
        <w:r w:rsidRPr="002513B4">
          <w:rPr>
            <w:webHidden/>
          </w:rPr>
          <w:fldChar w:fldCharType="separate"/>
        </w:r>
        <w:r w:rsidR="00C40D67">
          <w:rPr>
            <w:webHidden/>
          </w:rPr>
          <w:t>94</w:t>
        </w:r>
        <w:r w:rsidRPr="002513B4">
          <w:rPr>
            <w:webHidden/>
          </w:rPr>
          <w:fldChar w:fldCharType="end"/>
        </w:r>
      </w:hyperlink>
    </w:p>
    <w:p w14:paraId="77BBBF3B" w14:textId="669190C4"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00" w:history="1">
        <w:r w:rsidRPr="002513B4">
          <w:rPr>
            <w:rStyle w:val="Hyperlink"/>
          </w:rPr>
          <w:t>10.2 Quick Links on the HHCAHPS Survey Website</w:t>
        </w:r>
        <w:r w:rsidRPr="002513B4">
          <w:rPr>
            <w:webHidden/>
          </w:rPr>
          <w:tab/>
        </w:r>
        <w:r w:rsidRPr="002513B4">
          <w:rPr>
            <w:webHidden/>
          </w:rPr>
          <w:fldChar w:fldCharType="begin"/>
        </w:r>
        <w:r w:rsidRPr="002513B4">
          <w:rPr>
            <w:webHidden/>
          </w:rPr>
          <w:instrText xml:space="preserve"> PAGEREF _Toc217024900 \h </w:instrText>
        </w:r>
        <w:r w:rsidRPr="002513B4">
          <w:rPr>
            <w:webHidden/>
          </w:rPr>
        </w:r>
        <w:r w:rsidRPr="002513B4">
          <w:rPr>
            <w:webHidden/>
          </w:rPr>
          <w:fldChar w:fldCharType="separate"/>
        </w:r>
        <w:r w:rsidR="00C40D67">
          <w:rPr>
            <w:webHidden/>
          </w:rPr>
          <w:t>96</w:t>
        </w:r>
        <w:r w:rsidRPr="002513B4">
          <w:rPr>
            <w:webHidden/>
          </w:rPr>
          <w:fldChar w:fldCharType="end"/>
        </w:r>
      </w:hyperlink>
    </w:p>
    <w:p w14:paraId="78A43876" w14:textId="398200DA"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01" w:history="1">
        <w:r w:rsidRPr="002513B4">
          <w:rPr>
            <w:rStyle w:val="Hyperlink"/>
          </w:rPr>
          <w:t>10.3 HHCAHPS Survey Site Navigation Menus</w:t>
        </w:r>
        <w:r w:rsidRPr="002513B4">
          <w:rPr>
            <w:webHidden/>
          </w:rPr>
          <w:tab/>
        </w:r>
        <w:r w:rsidRPr="002513B4">
          <w:rPr>
            <w:webHidden/>
          </w:rPr>
          <w:fldChar w:fldCharType="begin"/>
        </w:r>
        <w:r w:rsidRPr="002513B4">
          <w:rPr>
            <w:webHidden/>
          </w:rPr>
          <w:instrText xml:space="preserve"> PAGEREF _Toc217024901 \h </w:instrText>
        </w:r>
        <w:r w:rsidRPr="002513B4">
          <w:rPr>
            <w:webHidden/>
          </w:rPr>
        </w:r>
        <w:r w:rsidRPr="002513B4">
          <w:rPr>
            <w:webHidden/>
          </w:rPr>
          <w:fldChar w:fldCharType="separate"/>
        </w:r>
        <w:r w:rsidR="00C40D67">
          <w:rPr>
            <w:webHidden/>
          </w:rPr>
          <w:t>96</w:t>
        </w:r>
        <w:r w:rsidRPr="002513B4">
          <w:rPr>
            <w:webHidden/>
          </w:rPr>
          <w:fldChar w:fldCharType="end"/>
        </w:r>
      </w:hyperlink>
    </w:p>
    <w:p w14:paraId="4F16F4C9" w14:textId="1B398A29"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02" w:history="1">
        <w:r w:rsidRPr="002513B4">
          <w:rPr>
            <w:rStyle w:val="Hyperlink"/>
          </w:rPr>
          <w:t>10.4 Payer Source Data Elements</w:t>
        </w:r>
        <w:r w:rsidRPr="002513B4">
          <w:rPr>
            <w:webHidden/>
          </w:rPr>
          <w:tab/>
        </w:r>
        <w:r w:rsidRPr="002513B4">
          <w:rPr>
            <w:webHidden/>
          </w:rPr>
          <w:fldChar w:fldCharType="begin"/>
        </w:r>
        <w:r w:rsidRPr="002513B4">
          <w:rPr>
            <w:webHidden/>
          </w:rPr>
          <w:instrText xml:space="preserve"> PAGEREF _Toc217024902 \h </w:instrText>
        </w:r>
        <w:r w:rsidRPr="002513B4">
          <w:rPr>
            <w:webHidden/>
          </w:rPr>
        </w:r>
        <w:r w:rsidRPr="002513B4">
          <w:rPr>
            <w:webHidden/>
          </w:rPr>
          <w:fldChar w:fldCharType="separate"/>
        </w:r>
        <w:r w:rsidR="00C40D67">
          <w:rPr>
            <w:webHidden/>
          </w:rPr>
          <w:t>106</w:t>
        </w:r>
        <w:r w:rsidRPr="002513B4">
          <w:rPr>
            <w:webHidden/>
          </w:rPr>
          <w:fldChar w:fldCharType="end"/>
        </w:r>
      </w:hyperlink>
    </w:p>
    <w:p w14:paraId="3EB9AED7" w14:textId="4B067312" w:rsidR="00687F9D" w:rsidRPr="002513B4" w:rsidRDefault="00687F9D">
      <w:pPr>
        <w:pStyle w:val="TableofFigures"/>
        <w:rPr>
          <w:rFonts w:asciiTheme="minorHAnsi" w:eastAsiaTheme="minorEastAsia" w:hAnsiTheme="minorHAnsi" w:cstheme="minorBidi"/>
          <w:kern w:val="2"/>
          <w:sz w:val="24"/>
          <w:szCs w:val="24"/>
          <w:lang w:eastAsia="zh-CN"/>
          <w14:ligatures w14:val="standardContextual"/>
        </w:rPr>
      </w:pPr>
      <w:hyperlink w:anchor="_Toc217024903" w:history="1">
        <w:r w:rsidRPr="002513B4">
          <w:rPr>
            <w:rStyle w:val="Hyperlink"/>
          </w:rPr>
          <w:t>10.5 Link to Data Submission Tool</w:t>
        </w:r>
        <w:r w:rsidRPr="002513B4">
          <w:rPr>
            <w:webHidden/>
          </w:rPr>
          <w:tab/>
        </w:r>
        <w:r w:rsidRPr="002513B4">
          <w:rPr>
            <w:webHidden/>
          </w:rPr>
          <w:fldChar w:fldCharType="begin"/>
        </w:r>
        <w:r w:rsidRPr="002513B4">
          <w:rPr>
            <w:webHidden/>
          </w:rPr>
          <w:instrText xml:space="preserve"> PAGEREF _Toc217024903 \h </w:instrText>
        </w:r>
        <w:r w:rsidRPr="002513B4">
          <w:rPr>
            <w:webHidden/>
          </w:rPr>
        </w:r>
        <w:r w:rsidRPr="002513B4">
          <w:rPr>
            <w:webHidden/>
          </w:rPr>
          <w:fldChar w:fldCharType="separate"/>
        </w:r>
        <w:r w:rsidR="00C40D67">
          <w:rPr>
            <w:webHidden/>
          </w:rPr>
          <w:t>110</w:t>
        </w:r>
        <w:r w:rsidRPr="002513B4">
          <w:rPr>
            <w:webHidden/>
          </w:rPr>
          <w:fldChar w:fldCharType="end"/>
        </w:r>
      </w:hyperlink>
    </w:p>
    <w:p w14:paraId="309208ED" w14:textId="08241809" w:rsidR="00687F9D" w:rsidRPr="002513B4" w:rsidRDefault="00EE74F9" w:rsidP="005C5414">
      <w:pPr>
        <w:pStyle w:val="TableofFigures"/>
        <w:ind w:left="0" w:firstLine="0"/>
      </w:pPr>
      <w:r w:rsidRPr="002513B4">
        <w:rPr>
          <w:rStyle w:val="Hyperlink"/>
          <w:noProof w:val="0"/>
          <w:color w:val="auto"/>
          <w:u w:val="none"/>
        </w:rPr>
        <w:lastRenderedPageBreak/>
        <w:fldChar w:fldCharType="end"/>
      </w:r>
      <w:r w:rsidRPr="002513B4">
        <w:rPr>
          <w:b/>
          <w:bCs/>
          <w:i/>
          <w:iCs/>
          <w:noProof w:val="0"/>
          <w:sz w:val="22"/>
          <w:szCs w:val="22"/>
        </w:rPr>
        <w:t>Tables</w:t>
      </w:r>
      <w:r w:rsidRPr="002513B4">
        <w:rPr>
          <w:noProof w:val="0"/>
        </w:rPr>
        <w:fldChar w:fldCharType="begin"/>
      </w:r>
      <w:r w:rsidRPr="002513B4">
        <w:rPr>
          <w:noProof w:val="0"/>
        </w:rPr>
        <w:instrText xml:space="preserve"> TOC \h \z \t "Table Caption" \c </w:instrText>
      </w:r>
      <w:r w:rsidRPr="002513B4">
        <w:rPr>
          <w:noProof w:val="0"/>
        </w:rPr>
        <w:fldChar w:fldCharType="separate"/>
      </w:r>
    </w:p>
    <w:p w14:paraId="6D6D403D" w14:textId="58589A70"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08" w:history="1">
        <w:r w:rsidRPr="002513B4">
          <w:rPr>
            <w:rStyle w:val="Hyperlink"/>
          </w:rPr>
          <w:t>4.1 Information Needed From HHAs for Each Medicare or Medicaid Patient Served During Sample Month</w:t>
        </w:r>
        <w:r w:rsidRPr="002513B4">
          <w:rPr>
            <w:webHidden/>
          </w:rPr>
          <w:tab/>
        </w:r>
        <w:r w:rsidRPr="002513B4">
          <w:rPr>
            <w:webHidden/>
          </w:rPr>
          <w:fldChar w:fldCharType="begin"/>
        </w:r>
        <w:r w:rsidRPr="002513B4">
          <w:rPr>
            <w:webHidden/>
          </w:rPr>
          <w:instrText xml:space="preserve"> PAGEREF _Toc217024908 \h </w:instrText>
        </w:r>
        <w:r w:rsidRPr="002513B4">
          <w:rPr>
            <w:webHidden/>
          </w:rPr>
        </w:r>
        <w:r w:rsidRPr="002513B4">
          <w:rPr>
            <w:webHidden/>
          </w:rPr>
          <w:fldChar w:fldCharType="separate"/>
        </w:r>
        <w:r w:rsidR="00C40D67">
          <w:rPr>
            <w:webHidden/>
          </w:rPr>
          <w:t>22</w:t>
        </w:r>
        <w:r w:rsidRPr="002513B4">
          <w:rPr>
            <w:webHidden/>
          </w:rPr>
          <w:fldChar w:fldCharType="end"/>
        </w:r>
      </w:hyperlink>
    </w:p>
    <w:p w14:paraId="134663B1" w14:textId="38A8A8CD"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09" w:history="1">
        <w:r w:rsidRPr="002513B4">
          <w:rPr>
            <w:rStyle w:val="Hyperlink"/>
          </w:rPr>
          <w:t>4.2 Response Rates Obtained by Mode During the HHCAHPS 2026 Annual Payment Update Participation Period</w:t>
        </w:r>
        <w:r w:rsidRPr="002513B4">
          <w:rPr>
            <w:webHidden/>
          </w:rPr>
          <w:tab/>
        </w:r>
        <w:r w:rsidRPr="002513B4">
          <w:rPr>
            <w:webHidden/>
          </w:rPr>
          <w:fldChar w:fldCharType="begin"/>
        </w:r>
        <w:r w:rsidRPr="002513B4">
          <w:rPr>
            <w:webHidden/>
          </w:rPr>
          <w:instrText xml:space="preserve"> PAGEREF _Toc217024909 \h </w:instrText>
        </w:r>
        <w:r w:rsidRPr="002513B4">
          <w:rPr>
            <w:webHidden/>
          </w:rPr>
        </w:r>
        <w:r w:rsidRPr="002513B4">
          <w:rPr>
            <w:webHidden/>
          </w:rPr>
          <w:fldChar w:fldCharType="separate"/>
        </w:r>
        <w:r w:rsidR="00C40D67">
          <w:rPr>
            <w:webHidden/>
          </w:rPr>
          <w:t>31</w:t>
        </w:r>
        <w:r w:rsidRPr="002513B4">
          <w:rPr>
            <w:webHidden/>
          </w:rPr>
          <w:fldChar w:fldCharType="end"/>
        </w:r>
      </w:hyperlink>
    </w:p>
    <w:p w14:paraId="0E6B36C6" w14:textId="3F6AEE18"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0" w:history="1">
        <w:r w:rsidRPr="002513B4">
          <w:rPr>
            <w:rStyle w:val="Hyperlink"/>
          </w:rPr>
          <w:t>4.3 Sampling Common Misconceptions and Problems with Proper Implementation</w:t>
        </w:r>
        <w:r w:rsidRPr="002513B4">
          <w:rPr>
            <w:webHidden/>
          </w:rPr>
          <w:tab/>
        </w:r>
        <w:r w:rsidRPr="002513B4">
          <w:rPr>
            <w:webHidden/>
          </w:rPr>
          <w:fldChar w:fldCharType="begin"/>
        </w:r>
        <w:r w:rsidRPr="002513B4">
          <w:rPr>
            <w:webHidden/>
          </w:rPr>
          <w:instrText xml:space="preserve"> PAGEREF _Toc217024910 \h </w:instrText>
        </w:r>
        <w:r w:rsidRPr="002513B4">
          <w:rPr>
            <w:webHidden/>
          </w:rPr>
        </w:r>
        <w:r w:rsidRPr="002513B4">
          <w:rPr>
            <w:webHidden/>
          </w:rPr>
          <w:fldChar w:fldCharType="separate"/>
        </w:r>
        <w:r w:rsidR="00C40D67">
          <w:rPr>
            <w:webHidden/>
          </w:rPr>
          <w:t>39</w:t>
        </w:r>
        <w:r w:rsidRPr="002513B4">
          <w:rPr>
            <w:webHidden/>
          </w:rPr>
          <w:fldChar w:fldCharType="end"/>
        </w:r>
      </w:hyperlink>
    </w:p>
    <w:p w14:paraId="4221099E" w14:textId="61AA0E93"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1" w:history="1">
        <w:r w:rsidRPr="002513B4">
          <w:rPr>
            <w:rStyle w:val="Hyperlink"/>
          </w:rPr>
          <w:t>5.1 Mail-Only Administration Schedule and Protocol</w:t>
        </w:r>
        <w:r w:rsidRPr="002513B4">
          <w:rPr>
            <w:webHidden/>
          </w:rPr>
          <w:tab/>
        </w:r>
        <w:r w:rsidRPr="002513B4">
          <w:rPr>
            <w:webHidden/>
          </w:rPr>
          <w:fldChar w:fldCharType="begin"/>
        </w:r>
        <w:r w:rsidRPr="002513B4">
          <w:rPr>
            <w:webHidden/>
          </w:rPr>
          <w:instrText xml:space="preserve"> PAGEREF _Toc217024911 \h </w:instrText>
        </w:r>
        <w:r w:rsidRPr="002513B4">
          <w:rPr>
            <w:webHidden/>
          </w:rPr>
        </w:r>
        <w:r w:rsidRPr="002513B4">
          <w:rPr>
            <w:webHidden/>
          </w:rPr>
          <w:fldChar w:fldCharType="separate"/>
        </w:r>
        <w:r w:rsidR="00C40D67">
          <w:rPr>
            <w:webHidden/>
          </w:rPr>
          <w:t>45</w:t>
        </w:r>
        <w:r w:rsidRPr="002513B4">
          <w:rPr>
            <w:webHidden/>
          </w:rPr>
          <w:fldChar w:fldCharType="end"/>
        </w:r>
      </w:hyperlink>
    </w:p>
    <w:p w14:paraId="087ADB60" w14:textId="4E6CB222"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2" w:history="1">
        <w:r w:rsidRPr="002513B4">
          <w:rPr>
            <w:rStyle w:val="Hyperlink"/>
          </w:rPr>
          <w:t>6.1 Prescribed Order of Activities and Timing for an All-Telephone HHCAHPS Survey</w:t>
        </w:r>
        <w:r w:rsidRPr="002513B4">
          <w:rPr>
            <w:webHidden/>
          </w:rPr>
          <w:tab/>
        </w:r>
        <w:r w:rsidRPr="002513B4">
          <w:rPr>
            <w:webHidden/>
          </w:rPr>
          <w:fldChar w:fldCharType="begin"/>
        </w:r>
        <w:r w:rsidRPr="002513B4">
          <w:rPr>
            <w:webHidden/>
          </w:rPr>
          <w:instrText xml:space="preserve"> PAGEREF _Toc217024912 \h </w:instrText>
        </w:r>
        <w:r w:rsidRPr="002513B4">
          <w:rPr>
            <w:webHidden/>
          </w:rPr>
        </w:r>
        <w:r w:rsidRPr="002513B4">
          <w:rPr>
            <w:webHidden/>
          </w:rPr>
          <w:fldChar w:fldCharType="separate"/>
        </w:r>
        <w:r w:rsidR="00C40D67">
          <w:rPr>
            <w:webHidden/>
          </w:rPr>
          <w:t>57</w:t>
        </w:r>
        <w:r w:rsidRPr="002513B4">
          <w:rPr>
            <w:webHidden/>
          </w:rPr>
          <w:fldChar w:fldCharType="end"/>
        </w:r>
      </w:hyperlink>
    </w:p>
    <w:p w14:paraId="6C3EB7B5" w14:textId="34EDD646"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3" w:history="1">
        <w:r w:rsidRPr="002513B4">
          <w:rPr>
            <w:rStyle w:val="Hyperlink"/>
          </w:rPr>
          <w:t>7.1 Tasks and Schedule of Activities for Mail With Telephone Follow-Up</w:t>
        </w:r>
        <w:r w:rsidRPr="002513B4">
          <w:rPr>
            <w:webHidden/>
          </w:rPr>
          <w:tab/>
        </w:r>
        <w:r w:rsidRPr="002513B4">
          <w:rPr>
            <w:webHidden/>
          </w:rPr>
          <w:fldChar w:fldCharType="begin"/>
        </w:r>
        <w:r w:rsidRPr="002513B4">
          <w:rPr>
            <w:webHidden/>
          </w:rPr>
          <w:instrText xml:space="preserve"> PAGEREF _Toc217024913 \h </w:instrText>
        </w:r>
        <w:r w:rsidRPr="002513B4">
          <w:rPr>
            <w:webHidden/>
          </w:rPr>
        </w:r>
        <w:r w:rsidRPr="002513B4">
          <w:rPr>
            <w:webHidden/>
          </w:rPr>
          <w:fldChar w:fldCharType="separate"/>
        </w:r>
        <w:r w:rsidR="00C40D67">
          <w:rPr>
            <w:webHidden/>
          </w:rPr>
          <w:t>70</w:t>
        </w:r>
        <w:r w:rsidRPr="002513B4">
          <w:rPr>
            <w:webHidden/>
          </w:rPr>
          <w:fldChar w:fldCharType="end"/>
        </w:r>
      </w:hyperlink>
    </w:p>
    <w:p w14:paraId="3D1A7FAF" w14:textId="0195C020"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4" w:history="1">
        <w:r w:rsidRPr="002513B4">
          <w:rPr>
            <w:rStyle w:val="Hyperlink"/>
          </w:rPr>
          <w:t>8.1 Raw Response Distribution for Q21 Example</w:t>
        </w:r>
        <w:r w:rsidRPr="002513B4">
          <w:rPr>
            <w:webHidden/>
          </w:rPr>
          <w:tab/>
        </w:r>
        <w:r w:rsidRPr="002513B4">
          <w:rPr>
            <w:webHidden/>
          </w:rPr>
          <w:fldChar w:fldCharType="begin"/>
        </w:r>
        <w:r w:rsidRPr="002513B4">
          <w:rPr>
            <w:webHidden/>
          </w:rPr>
          <w:instrText xml:space="preserve"> PAGEREF _Toc217024914 \h </w:instrText>
        </w:r>
        <w:r w:rsidRPr="002513B4">
          <w:rPr>
            <w:webHidden/>
          </w:rPr>
        </w:r>
        <w:r w:rsidRPr="002513B4">
          <w:rPr>
            <w:webHidden/>
          </w:rPr>
          <w:fldChar w:fldCharType="separate"/>
        </w:r>
        <w:r w:rsidR="00C40D67">
          <w:rPr>
            <w:webHidden/>
          </w:rPr>
          <w:t>77</w:t>
        </w:r>
        <w:r w:rsidRPr="002513B4">
          <w:rPr>
            <w:webHidden/>
          </w:rPr>
          <w:fldChar w:fldCharType="end"/>
        </w:r>
      </w:hyperlink>
    </w:p>
    <w:p w14:paraId="3CA129D3" w14:textId="104D5AA9"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5" w:history="1">
        <w:r w:rsidRPr="002513B4">
          <w:rPr>
            <w:rStyle w:val="Hyperlink"/>
          </w:rPr>
          <w:t>8.2 Alternative Method Response Distribution for Q21 Example</w:t>
        </w:r>
        <w:r w:rsidRPr="002513B4">
          <w:rPr>
            <w:webHidden/>
          </w:rPr>
          <w:tab/>
        </w:r>
        <w:r w:rsidRPr="002513B4">
          <w:rPr>
            <w:webHidden/>
          </w:rPr>
          <w:fldChar w:fldCharType="begin"/>
        </w:r>
        <w:r w:rsidRPr="002513B4">
          <w:rPr>
            <w:webHidden/>
          </w:rPr>
          <w:instrText xml:space="preserve"> PAGEREF _Toc217024915 \h </w:instrText>
        </w:r>
        <w:r w:rsidRPr="002513B4">
          <w:rPr>
            <w:webHidden/>
          </w:rPr>
        </w:r>
        <w:r w:rsidRPr="002513B4">
          <w:rPr>
            <w:webHidden/>
          </w:rPr>
          <w:fldChar w:fldCharType="separate"/>
        </w:r>
        <w:r w:rsidR="00C40D67">
          <w:rPr>
            <w:webHidden/>
          </w:rPr>
          <w:t>77</w:t>
        </w:r>
        <w:r w:rsidRPr="002513B4">
          <w:rPr>
            <w:webHidden/>
          </w:rPr>
          <w:fldChar w:fldCharType="end"/>
        </w:r>
      </w:hyperlink>
    </w:p>
    <w:p w14:paraId="0DCE67E9" w14:textId="6FC57F4E"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6" w:history="1">
        <w:r w:rsidRPr="002513B4">
          <w:rPr>
            <w:rStyle w:val="Hyperlink"/>
          </w:rPr>
          <w:t>9.1 HHCAHPS Survey Disposition Codes</w:t>
        </w:r>
        <w:r w:rsidRPr="002513B4">
          <w:rPr>
            <w:webHidden/>
          </w:rPr>
          <w:tab/>
        </w:r>
        <w:r w:rsidRPr="002513B4">
          <w:rPr>
            <w:webHidden/>
          </w:rPr>
          <w:fldChar w:fldCharType="begin"/>
        </w:r>
        <w:r w:rsidRPr="002513B4">
          <w:rPr>
            <w:webHidden/>
          </w:rPr>
          <w:instrText xml:space="preserve"> PAGEREF _Toc217024916 \h </w:instrText>
        </w:r>
        <w:r w:rsidRPr="002513B4">
          <w:rPr>
            <w:webHidden/>
          </w:rPr>
        </w:r>
        <w:r w:rsidRPr="002513B4">
          <w:rPr>
            <w:webHidden/>
          </w:rPr>
          <w:fldChar w:fldCharType="separate"/>
        </w:r>
        <w:r w:rsidR="00C40D67">
          <w:rPr>
            <w:webHidden/>
          </w:rPr>
          <w:t>85</w:t>
        </w:r>
        <w:r w:rsidRPr="002513B4">
          <w:rPr>
            <w:webHidden/>
          </w:rPr>
          <w:fldChar w:fldCharType="end"/>
        </w:r>
      </w:hyperlink>
    </w:p>
    <w:p w14:paraId="42750A78" w14:textId="7F9B4491"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7" w:history="1">
        <w:r w:rsidRPr="002513B4">
          <w:rPr>
            <w:rStyle w:val="Hyperlink"/>
          </w:rPr>
          <w:t>9.2 Handling Blank Mail Survey Questionnaires</w:t>
        </w:r>
        <w:r w:rsidRPr="002513B4">
          <w:rPr>
            <w:webHidden/>
          </w:rPr>
          <w:tab/>
        </w:r>
        <w:r w:rsidRPr="002513B4">
          <w:rPr>
            <w:webHidden/>
          </w:rPr>
          <w:fldChar w:fldCharType="begin"/>
        </w:r>
        <w:r w:rsidRPr="002513B4">
          <w:rPr>
            <w:webHidden/>
          </w:rPr>
          <w:instrText xml:space="preserve"> PAGEREF _Toc217024917 \h </w:instrText>
        </w:r>
        <w:r w:rsidRPr="002513B4">
          <w:rPr>
            <w:webHidden/>
          </w:rPr>
        </w:r>
        <w:r w:rsidRPr="002513B4">
          <w:rPr>
            <w:webHidden/>
          </w:rPr>
          <w:fldChar w:fldCharType="separate"/>
        </w:r>
        <w:r w:rsidR="00C40D67">
          <w:rPr>
            <w:webHidden/>
          </w:rPr>
          <w:t>88</w:t>
        </w:r>
        <w:r w:rsidRPr="002513B4">
          <w:rPr>
            <w:webHidden/>
          </w:rPr>
          <w:fldChar w:fldCharType="end"/>
        </w:r>
      </w:hyperlink>
    </w:p>
    <w:p w14:paraId="1F1F799C" w14:textId="577A5D97" w:rsidR="00687F9D" w:rsidRPr="002513B4" w:rsidRDefault="00687F9D">
      <w:pPr>
        <w:pStyle w:val="TableofFigures"/>
        <w:contextualSpacing/>
        <w:rPr>
          <w:rFonts w:asciiTheme="minorHAnsi" w:eastAsiaTheme="minorEastAsia" w:hAnsiTheme="minorHAnsi" w:cstheme="minorBidi"/>
          <w:kern w:val="2"/>
          <w:sz w:val="24"/>
          <w:szCs w:val="24"/>
          <w:lang w:eastAsia="zh-CN"/>
          <w14:ligatures w14:val="standardContextual"/>
        </w:rPr>
      </w:pPr>
      <w:hyperlink w:anchor="_Toc217024918" w:history="1">
        <w:r w:rsidRPr="002513B4">
          <w:rPr>
            <w:rStyle w:val="Hyperlink"/>
          </w:rPr>
          <w:t>13.1 Crosswalk of Composite Measures and Global Ratings to Medicare’s Care Compare Website Text</w:t>
        </w:r>
        <w:r w:rsidRPr="002513B4">
          <w:rPr>
            <w:webHidden/>
          </w:rPr>
          <w:tab/>
        </w:r>
        <w:r w:rsidRPr="002513B4">
          <w:rPr>
            <w:webHidden/>
          </w:rPr>
          <w:fldChar w:fldCharType="begin"/>
        </w:r>
        <w:r w:rsidRPr="002513B4">
          <w:rPr>
            <w:webHidden/>
          </w:rPr>
          <w:instrText xml:space="preserve"> PAGEREF _Toc217024918 \h </w:instrText>
        </w:r>
        <w:r w:rsidRPr="002513B4">
          <w:rPr>
            <w:webHidden/>
          </w:rPr>
        </w:r>
        <w:r w:rsidRPr="002513B4">
          <w:rPr>
            <w:webHidden/>
          </w:rPr>
          <w:fldChar w:fldCharType="separate"/>
        </w:r>
        <w:r w:rsidR="00C40D67">
          <w:rPr>
            <w:webHidden/>
          </w:rPr>
          <w:t>126</w:t>
        </w:r>
        <w:r w:rsidRPr="002513B4">
          <w:rPr>
            <w:webHidden/>
          </w:rPr>
          <w:fldChar w:fldCharType="end"/>
        </w:r>
      </w:hyperlink>
    </w:p>
    <w:p w14:paraId="15890B40" w14:textId="1FFB9AD6" w:rsidR="00687F9D" w:rsidRPr="002513B4" w:rsidRDefault="00687F9D">
      <w:pPr>
        <w:pStyle w:val="TableofFigures"/>
        <w:rPr>
          <w:rFonts w:asciiTheme="minorHAnsi" w:eastAsiaTheme="minorEastAsia" w:hAnsiTheme="minorHAnsi" w:cstheme="minorBidi"/>
          <w:kern w:val="2"/>
          <w:sz w:val="24"/>
          <w:szCs w:val="24"/>
          <w:lang w:eastAsia="zh-CN"/>
          <w14:ligatures w14:val="standardContextual"/>
        </w:rPr>
      </w:pPr>
      <w:hyperlink w:anchor="_Toc217024919" w:history="1">
        <w:r w:rsidRPr="002513B4">
          <w:rPr>
            <w:rStyle w:val="Hyperlink"/>
          </w:rPr>
          <w:t>13.2 Public Reporting for the Home Health Care CAHPS Survey</w:t>
        </w:r>
        <w:r w:rsidRPr="002513B4">
          <w:rPr>
            <w:webHidden/>
          </w:rPr>
          <w:tab/>
        </w:r>
        <w:r w:rsidRPr="002513B4">
          <w:rPr>
            <w:webHidden/>
          </w:rPr>
          <w:fldChar w:fldCharType="begin"/>
        </w:r>
        <w:r w:rsidRPr="002513B4">
          <w:rPr>
            <w:webHidden/>
          </w:rPr>
          <w:instrText xml:space="preserve"> PAGEREF _Toc217024919 \h </w:instrText>
        </w:r>
        <w:r w:rsidRPr="002513B4">
          <w:rPr>
            <w:webHidden/>
          </w:rPr>
        </w:r>
        <w:r w:rsidRPr="002513B4">
          <w:rPr>
            <w:webHidden/>
          </w:rPr>
          <w:fldChar w:fldCharType="separate"/>
        </w:r>
        <w:r w:rsidR="00C40D67">
          <w:rPr>
            <w:webHidden/>
          </w:rPr>
          <w:t>127</w:t>
        </w:r>
        <w:r w:rsidRPr="002513B4">
          <w:rPr>
            <w:webHidden/>
          </w:rPr>
          <w:fldChar w:fldCharType="end"/>
        </w:r>
      </w:hyperlink>
    </w:p>
    <w:p w14:paraId="15426FB0" w14:textId="77777777" w:rsidR="00EE74F9" w:rsidRPr="002513B4" w:rsidRDefault="00EE74F9" w:rsidP="005C5414">
      <w:pPr>
        <w:pStyle w:val="TableofFigures"/>
        <w:ind w:left="0" w:firstLine="0"/>
        <w:rPr>
          <w:noProof w:val="0"/>
        </w:rPr>
      </w:pPr>
      <w:r w:rsidRPr="002513B4">
        <w:rPr>
          <w:noProof w:val="0"/>
        </w:rPr>
        <w:fldChar w:fldCharType="end"/>
      </w:r>
    </w:p>
    <w:p w14:paraId="545395A2" w14:textId="3DFDB3D6" w:rsidR="007A062D" w:rsidRPr="002513B4" w:rsidRDefault="007A062D">
      <w:pPr>
        <w:spacing w:after="0" w:line="240" w:lineRule="auto"/>
        <w:rPr>
          <w:rFonts w:ascii="Arial Bold" w:hAnsi="Arial Bold" w:hint="eastAsia"/>
          <w:b/>
          <w:bCs/>
          <w:smallCaps/>
          <w:kern w:val="32"/>
          <w:sz w:val="32"/>
          <w:szCs w:val="32"/>
          <w:u w:val="single"/>
          <w:lang w:eastAsia="x-none"/>
        </w:rPr>
      </w:pPr>
      <w:r w:rsidRPr="002513B4">
        <w:br w:type="page"/>
      </w:r>
    </w:p>
    <w:p w14:paraId="4CB08708" w14:textId="793CE320" w:rsidR="00EE74F9" w:rsidRPr="002513B4" w:rsidRDefault="007A062D" w:rsidP="007A062D">
      <w:pPr>
        <w:pStyle w:val="Heading2"/>
        <w:rPr>
          <w:lang w:val="en-US"/>
        </w:rPr>
      </w:pPr>
      <w:bookmarkStart w:id="10" w:name="_Toc217305547"/>
      <w:r w:rsidRPr="002513B4">
        <w:rPr>
          <w:lang w:val="en-US"/>
        </w:rPr>
        <w:lastRenderedPageBreak/>
        <w:t xml:space="preserve">Updates in this </w:t>
      </w:r>
      <w:r w:rsidR="00394D43" w:rsidRPr="002513B4">
        <w:rPr>
          <w:lang w:val="en-US"/>
        </w:rPr>
        <w:t>Release</w:t>
      </w:r>
      <w:bookmarkEnd w:id="10"/>
    </w:p>
    <w:p w14:paraId="3DC9044D" w14:textId="77777777" w:rsidR="00096472" w:rsidRPr="002513B4" w:rsidRDefault="00096472" w:rsidP="00096472">
      <w:pPr>
        <w:rPr>
          <w:b/>
          <w:bCs/>
        </w:rPr>
      </w:pPr>
      <w:r w:rsidRPr="002513B4">
        <w:rPr>
          <w:b/>
          <w:bCs/>
        </w:rPr>
        <w:t xml:space="preserve">Global Updates: </w:t>
      </w:r>
    </w:p>
    <w:p w14:paraId="63B6C826" w14:textId="76897EC9" w:rsidR="00096472" w:rsidRPr="002513B4" w:rsidRDefault="00096472" w:rsidP="001D7FBB">
      <w:pPr>
        <w:pStyle w:val="ListBullet"/>
      </w:pPr>
      <w:r w:rsidRPr="002513B4">
        <w:t xml:space="preserve">Reformatted manual to include section numbers and changed roman numeral for chapters to numbers. Updated references throughout (where needed). </w:t>
      </w:r>
    </w:p>
    <w:p w14:paraId="76295343" w14:textId="77777777" w:rsidR="00096472" w:rsidRPr="002513B4" w:rsidRDefault="00096472" w:rsidP="001D7FBB">
      <w:pPr>
        <w:pStyle w:val="ListBullet"/>
      </w:pPr>
      <w:r w:rsidRPr="002513B4">
        <w:t>Appendices (in full) replaced with a single appendix (</w:t>
      </w:r>
      <w:r w:rsidRPr="002513B4">
        <w:rPr>
          <w:b/>
          <w:bCs/>
          <w:i/>
          <w:iCs/>
        </w:rPr>
        <w:t>Appendix A</w:t>
      </w:r>
      <w:r w:rsidRPr="002513B4">
        <w:t xml:space="preserve">) with links to where users can find the survey and resource materials on the HHCAHPS website. </w:t>
      </w:r>
    </w:p>
    <w:p w14:paraId="2A6C1C0A" w14:textId="3374AE53" w:rsidR="00096472" w:rsidRPr="002513B4" w:rsidRDefault="00096472" w:rsidP="001D7FBB">
      <w:pPr>
        <w:pStyle w:val="ListBullet"/>
      </w:pPr>
      <w:r w:rsidRPr="002513B4">
        <w:t>Updated the date reference</w:t>
      </w:r>
      <w:r w:rsidR="004E12A2" w:rsidRPr="002513B4">
        <w:t>s</w:t>
      </w:r>
      <w:r w:rsidRPr="002513B4">
        <w:t xml:space="preserve"> (e.g., “January 2026”) </w:t>
      </w:r>
      <w:r w:rsidR="004E12A2" w:rsidRPr="002513B4">
        <w:t>throughout.</w:t>
      </w:r>
    </w:p>
    <w:p w14:paraId="121F5B65" w14:textId="77777777" w:rsidR="00096472" w:rsidRPr="002513B4" w:rsidRDefault="00096472" w:rsidP="001D7FBB">
      <w:pPr>
        <w:pStyle w:val="ListBullet"/>
      </w:pPr>
      <w:r w:rsidRPr="002513B4">
        <w:t xml:space="preserve">Streamlined </w:t>
      </w:r>
      <w:r w:rsidRPr="002513B4">
        <w:rPr>
          <w:b/>
          <w:bCs/>
          <w:i/>
          <w:iCs/>
        </w:rPr>
        <w:t>Chapter 7</w:t>
      </w:r>
      <w:r w:rsidRPr="002513B4">
        <w:t xml:space="preserve"> (Mail with Telephone Follow-Up Survey Administration Procedures) to remove duplication. </w:t>
      </w:r>
    </w:p>
    <w:p w14:paraId="5801E11F" w14:textId="77777777" w:rsidR="00096472" w:rsidRPr="002513B4" w:rsidRDefault="00096472" w:rsidP="001D7FBB">
      <w:pPr>
        <w:pStyle w:val="ListBullet"/>
      </w:pPr>
      <w:r w:rsidRPr="002513B4">
        <w:t xml:space="preserve">Embedded web links to online resources referenced. </w:t>
      </w:r>
    </w:p>
    <w:p w14:paraId="3D98627E" w14:textId="5F5EF9E2" w:rsidR="00096472" w:rsidRPr="002513B4" w:rsidRDefault="00271AC6" w:rsidP="001D7FBB">
      <w:pPr>
        <w:pStyle w:val="ListBullet"/>
      </w:pPr>
      <w:r w:rsidRPr="002513B4">
        <w:t xml:space="preserve">References to HHCAHPS Survey questions throughout the P&amp;G Manual </w:t>
      </w:r>
      <w:r w:rsidR="00512D5C" w:rsidRPr="002513B4">
        <w:t>updated to</w:t>
      </w:r>
      <w:r w:rsidRPr="002513B4">
        <w:t xml:space="preserve"> reflect the revised HHCAHPS Survey instrument.</w:t>
      </w:r>
    </w:p>
    <w:p w14:paraId="39904B23" w14:textId="77777777" w:rsidR="00EC10CE" w:rsidRPr="002513B4" w:rsidRDefault="00EC10CE" w:rsidP="00EC10CE">
      <w:pPr>
        <w:spacing w:after="160" w:line="278" w:lineRule="auto"/>
        <w:contextualSpacing/>
      </w:pPr>
    </w:p>
    <w:tbl>
      <w:tblPr>
        <w:tblStyle w:val="TableGrid"/>
        <w:tblW w:w="9985" w:type="dxa"/>
        <w:tblLook w:val="04A0" w:firstRow="1" w:lastRow="0" w:firstColumn="1" w:lastColumn="0" w:noHBand="0" w:noVBand="1"/>
        <w:tblCaption w:val="Table of Updates in this P&amp;G Manual Release"/>
        <w:tblDescription w:val="This table summarizes the changes made to this release (in 2026) of the HHCAHPS Survey Protocols and Guidelines Manual, compared to the previous release (in 2025). This table provides a summary of changes by table or section in the manual."/>
      </w:tblPr>
      <w:tblGrid>
        <w:gridCol w:w="1584"/>
        <w:gridCol w:w="8401"/>
      </w:tblGrid>
      <w:tr w:rsidR="00096472" w:rsidRPr="002513B4" w14:paraId="4B01C516" w14:textId="77777777">
        <w:trPr>
          <w:tblHeader/>
        </w:trPr>
        <w:tc>
          <w:tcPr>
            <w:tcW w:w="1584" w:type="dxa"/>
            <w:shd w:val="clear" w:color="auto" w:fill="1F497D"/>
            <w:vAlign w:val="bottom"/>
          </w:tcPr>
          <w:p w14:paraId="241094DE" w14:textId="77777777" w:rsidR="00096472" w:rsidRPr="002513B4" w:rsidRDefault="00096472">
            <w:pPr>
              <w:spacing w:after="120"/>
              <w:jc w:val="center"/>
              <w:rPr>
                <w:b/>
                <w:bCs/>
                <w:color w:val="FFFFFF" w:themeColor="background1"/>
              </w:rPr>
            </w:pPr>
            <w:r w:rsidRPr="002513B4">
              <w:rPr>
                <w:b/>
                <w:bCs/>
                <w:color w:val="FFFFFF" w:themeColor="background1"/>
              </w:rPr>
              <w:t>Table or Section</w:t>
            </w:r>
          </w:p>
        </w:tc>
        <w:tc>
          <w:tcPr>
            <w:tcW w:w="8401" w:type="dxa"/>
            <w:shd w:val="clear" w:color="auto" w:fill="1F497D"/>
            <w:vAlign w:val="bottom"/>
          </w:tcPr>
          <w:p w14:paraId="2B2BD11B" w14:textId="77777777" w:rsidR="00096472" w:rsidRPr="002513B4" w:rsidRDefault="00096472">
            <w:pPr>
              <w:spacing w:after="120"/>
              <w:jc w:val="center"/>
              <w:rPr>
                <w:b/>
                <w:bCs/>
                <w:color w:val="FFFFFF" w:themeColor="background1"/>
              </w:rPr>
            </w:pPr>
            <w:r w:rsidRPr="002513B4">
              <w:rPr>
                <w:b/>
                <w:bCs/>
                <w:color w:val="FFFFFF" w:themeColor="background1"/>
              </w:rPr>
              <w:t>Update</w:t>
            </w:r>
          </w:p>
        </w:tc>
      </w:tr>
      <w:tr w:rsidR="00096472" w:rsidRPr="002513B4" w14:paraId="4BA55424" w14:textId="77777777">
        <w:tc>
          <w:tcPr>
            <w:tcW w:w="1584" w:type="dxa"/>
          </w:tcPr>
          <w:p w14:paraId="1DF2B363" w14:textId="77777777" w:rsidR="00096472" w:rsidRPr="002513B4" w:rsidRDefault="00096472">
            <w:pPr>
              <w:spacing w:after="120"/>
            </w:pPr>
            <w:r w:rsidRPr="002513B4">
              <w:t>n/a</w:t>
            </w:r>
          </w:p>
        </w:tc>
        <w:tc>
          <w:tcPr>
            <w:tcW w:w="8401" w:type="dxa"/>
          </w:tcPr>
          <w:p w14:paraId="02D8A101" w14:textId="77777777" w:rsidR="00096472" w:rsidRPr="002513B4" w:rsidRDefault="00096472">
            <w:pPr>
              <w:spacing w:after="120"/>
            </w:pPr>
            <w:r w:rsidRPr="002513B4">
              <w:t xml:space="preserve">Added a “Updates in this Release” page to highlight specific changes in the revised P&amp;G Manual. </w:t>
            </w:r>
          </w:p>
        </w:tc>
      </w:tr>
      <w:tr w:rsidR="00096472" w:rsidRPr="002513B4" w14:paraId="302C16CC" w14:textId="77777777">
        <w:tc>
          <w:tcPr>
            <w:tcW w:w="1584" w:type="dxa"/>
          </w:tcPr>
          <w:p w14:paraId="2099CC70" w14:textId="77777777" w:rsidR="00096472" w:rsidRPr="002513B4" w:rsidRDefault="00096472">
            <w:pPr>
              <w:spacing w:after="120"/>
            </w:pPr>
            <w:r w:rsidRPr="002513B4">
              <w:t>1.2</w:t>
            </w:r>
          </w:p>
        </w:tc>
        <w:tc>
          <w:tcPr>
            <w:tcW w:w="8401" w:type="dxa"/>
          </w:tcPr>
          <w:p w14:paraId="4744A99F" w14:textId="77777777" w:rsidR="00096472" w:rsidRPr="002513B4" w:rsidRDefault="00096472">
            <w:pPr>
              <w:spacing w:after="120"/>
            </w:pPr>
            <w:r w:rsidRPr="002513B4">
              <w:t>Collapsed sections 1.2.1 – 1.2.14 into one bulleted list and added an introduction statement to the sub-section.</w:t>
            </w:r>
          </w:p>
        </w:tc>
      </w:tr>
      <w:tr w:rsidR="00096472" w:rsidRPr="002513B4" w14:paraId="7DCCE1CD" w14:textId="77777777">
        <w:tc>
          <w:tcPr>
            <w:tcW w:w="1584" w:type="dxa"/>
          </w:tcPr>
          <w:p w14:paraId="333A9117" w14:textId="77777777" w:rsidR="00096472" w:rsidRPr="002513B4" w:rsidRDefault="00096472">
            <w:pPr>
              <w:spacing w:after="120"/>
            </w:pPr>
            <w:r w:rsidRPr="002513B4">
              <w:t>2.4</w:t>
            </w:r>
          </w:p>
        </w:tc>
        <w:tc>
          <w:tcPr>
            <w:tcW w:w="8401" w:type="dxa"/>
          </w:tcPr>
          <w:p w14:paraId="68DCE869" w14:textId="77777777" w:rsidR="00096472" w:rsidRPr="002513B4" w:rsidRDefault="00096472">
            <w:pPr>
              <w:spacing w:after="120"/>
            </w:pPr>
            <w:r w:rsidRPr="002513B4">
              <w:t>Added information about the 2022 mode experiment.</w:t>
            </w:r>
          </w:p>
        </w:tc>
      </w:tr>
      <w:tr w:rsidR="00096472" w:rsidRPr="002513B4" w14:paraId="47854BBC" w14:textId="77777777">
        <w:tc>
          <w:tcPr>
            <w:tcW w:w="1584" w:type="dxa"/>
          </w:tcPr>
          <w:p w14:paraId="37FF77A0" w14:textId="77777777" w:rsidR="00096472" w:rsidRPr="002513B4" w:rsidRDefault="00096472">
            <w:pPr>
              <w:spacing w:after="120"/>
            </w:pPr>
            <w:r w:rsidRPr="002513B4">
              <w:t>2.5</w:t>
            </w:r>
          </w:p>
        </w:tc>
        <w:tc>
          <w:tcPr>
            <w:tcW w:w="8401" w:type="dxa"/>
          </w:tcPr>
          <w:p w14:paraId="5E9CFC3B" w14:textId="77777777" w:rsidR="00096472" w:rsidRPr="002513B4" w:rsidRDefault="00096472">
            <w:pPr>
              <w:spacing w:after="120"/>
            </w:pPr>
            <w:r w:rsidRPr="002513B4">
              <w:t>Updated this section to include information about the recent Consensus-Based Entity (CBE) Endorsement process.</w:t>
            </w:r>
          </w:p>
        </w:tc>
      </w:tr>
      <w:tr w:rsidR="00096472" w:rsidRPr="002513B4" w14:paraId="18E0951B" w14:textId="77777777">
        <w:tc>
          <w:tcPr>
            <w:tcW w:w="1584" w:type="dxa"/>
          </w:tcPr>
          <w:p w14:paraId="5FB73F24" w14:textId="77777777" w:rsidR="00096472" w:rsidRPr="002513B4" w:rsidRDefault="00096472">
            <w:pPr>
              <w:spacing w:after="120"/>
            </w:pPr>
            <w:r w:rsidRPr="002513B4">
              <w:t>2.6</w:t>
            </w:r>
          </w:p>
        </w:tc>
        <w:tc>
          <w:tcPr>
            <w:tcW w:w="8401" w:type="dxa"/>
          </w:tcPr>
          <w:p w14:paraId="13FE2BBC" w14:textId="77777777" w:rsidR="00096472" w:rsidRPr="002513B4" w:rsidRDefault="00096472">
            <w:pPr>
              <w:spacing w:after="120"/>
            </w:pPr>
            <w:r w:rsidRPr="002513B4">
              <w:t>Updated this section to include information about the recent OMB submission for 2025.</w:t>
            </w:r>
          </w:p>
        </w:tc>
      </w:tr>
      <w:tr w:rsidR="00096472" w:rsidRPr="002513B4" w14:paraId="51A1C1F7" w14:textId="77777777">
        <w:tc>
          <w:tcPr>
            <w:tcW w:w="1584" w:type="dxa"/>
          </w:tcPr>
          <w:p w14:paraId="7AC4DD0F" w14:textId="77777777" w:rsidR="00096472" w:rsidRPr="002513B4" w:rsidRDefault="00096472">
            <w:pPr>
              <w:spacing w:after="120"/>
            </w:pPr>
            <w:r w:rsidRPr="002513B4">
              <w:t>2.7</w:t>
            </w:r>
          </w:p>
        </w:tc>
        <w:tc>
          <w:tcPr>
            <w:tcW w:w="8401" w:type="dxa"/>
          </w:tcPr>
          <w:p w14:paraId="6D6187C0" w14:textId="77777777" w:rsidR="00096472" w:rsidRPr="002513B4" w:rsidRDefault="00096472">
            <w:pPr>
              <w:spacing w:after="120"/>
            </w:pPr>
            <w:r w:rsidRPr="002513B4">
              <w:t>Updated this section to reflect the changes regarding the revised survey.</w:t>
            </w:r>
          </w:p>
        </w:tc>
      </w:tr>
      <w:tr w:rsidR="00096472" w:rsidRPr="002513B4" w14:paraId="2EA6204E" w14:textId="77777777">
        <w:tc>
          <w:tcPr>
            <w:tcW w:w="1584" w:type="dxa"/>
          </w:tcPr>
          <w:p w14:paraId="459B0C41" w14:textId="77777777" w:rsidR="00096472" w:rsidRPr="002513B4" w:rsidRDefault="00096472">
            <w:pPr>
              <w:spacing w:after="120"/>
            </w:pPr>
            <w:r w:rsidRPr="002513B4">
              <w:t>3.2.2</w:t>
            </w:r>
          </w:p>
        </w:tc>
        <w:tc>
          <w:tcPr>
            <w:tcW w:w="8401" w:type="dxa"/>
          </w:tcPr>
          <w:p w14:paraId="6831E630" w14:textId="3667547A" w:rsidR="00096472" w:rsidRPr="002513B4" w:rsidRDefault="00096472" w:rsidP="0084051C">
            <w:pPr>
              <w:pStyle w:val="TableBullet"/>
            </w:pPr>
            <w:r w:rsidRPr="002513B4">
              <w:t xml:space="preserve">Updated calendar year 2026 Final Rule information </w:t>
            </w:r>
          </w:p>
          <w:p w14:paraId="5D58B1B4" w14:textId="77777777" w:rsidR="00096472" w:rsidRPr="002513B4" w:rsidRDefault="00096472" w:rsidP="000232E5">
            <w:pPr>
              <w:pStyle w:val="TableBullet"/>
            </w:pPr>
            <w:r w:rsidRPr="002513B4">
              <w:t>Added clarification to HHA eligibility requirements.</w:t>
            </w:r>
          </w:p>
        </w:tc>
      </w:tr>
      <w:tr w:rsidR="00096472" w:rsidRPr="002513B4" w14:paraId="608744F4" w14:textId="77777777">
        <w:tc>
          <w:tcPr>
            <w:tcW w:w="1584" w:type="dxa"/>
          </w:tcPr>
          <w:p w14:paraId="363228FA" w14:textId="77777777" w:rsidR="00096472" w:rsidRPr="002513B4" w:rsidRDefault="00096472">
            <w:pPr>
              <w:spacing w:after="120"/>
            </w:pPr>
            <w:r w:rsidRPr="002513B4">
              <w:t>3.5</w:t>
            </w:r>
          </w:p>
        </w:tc>
        <w:tc>
          <w:tcPr>
            <w:tcW w:w="8401" w:type="dxa"/>
          </w:tcPr>
          <w:p w14:paraId="3D5AD417" w14:textId="77777777" w:rsidR="00096472" w:rsidRPr="002513B4" w:rsidRDefault="00096472">
            <w:pPr>
              <w:spacing w:after="120"/>
            </w:pPr>
            <w:r w:rsidRPr="002513B4">
              <w:t>Deleted the sub-section on Survey Vendor Eligibility as redundant with the information provided in the Minimum Business Requirements (MBR).</w:t>
            </w:r>
          </w:p>
        </w:tc>
      </w:tr>
      <w:tr w:rsidR="00096472" w:rsidRPr="002513B4" w14:paraId="71F7DE29" w14:textId="77777777">
        <w:tc>
          <w:tcPr>
            <w:tcW w:w="1584" w:type="dxa"/>
          </w:tcPr>
          <w:p w14:paraId="406D333C" w14:textId="77777777" w:rsidR="00096472" w:rsidRPr="002513B4" w:rsidRDefault="00096472">
            <w:pPr>
              <w:spacing w:after="120"/>
            </w:pPr>
            <w:r w:rsidRPr="002513B4">
              <w:t>3.6</w:t>
            </w:r>
          </w:p>
        </w:tc>
        <w:tc>
          <w:tcPr>
            <w:tcW w:w="8401" w:type="dxa"/>
          </w:tcPr>
          <w:p w14:paraId="38536288" w14:textId="77777777" w:rsidR="00096472" w:rsidRPr="002513B4" w:rsidRDefault="00096472">
            <w:pPr>
              <w:spacing w:after="120"/>
            </w:pPr>
            <w:r w:rsidRPr="002513B4">
              <w:t>Deleted to streamline with Section 3.4.</w:t>
            </w:r>
          </w:p>
        </w:tc>
      </w:tr>
      <w:tr w:rsidR="00096472" w:rsidRPr="002513B4" w14:paraId="6E06C5D4" w14:textId="77777777">
        <w:tc>
          <w:tcPr>
            <w:tcW w:w="1584" w:type="dxa"/>
          </w:tcPr>
          <w:p w14:paraId="4D12B42B" w14:textId="77777777" w:rsidR="00096472" w:rsidRPr="002513B4" w:rsidRDefault="00096472">
            <w:pPr>
              <w:spacing w:after="120"/>
            </w:pPr>
            <w:r w:rsidRPr="002513B4">
              <w:t>Table 3.1</w:t>
            </w:r>
          </w:p>
        </w:tc>
        <w:tc>
          <w:tcPr>
            <w:tcW w:w="8401" w:type="dxa"/>
          </w:tcPr>
          <w:p w14:paraId="6196B767" w14:textId="77777777" w:rsidR="00096472" w:rsidRPr="002513B4" w:rsidRDefault="00096472">
            <w:pPr>
              <w:spacing w:after="120"/>
            </w:pPr>
            <w:r w:rsidRPr="002513B4">
              <w:t xml:space="preserve">Removed the table detailing the MBRs and included a link to the standalone document available on the HHCAHPS website and linked within </w:t>
            </w:r>
            <w:r w:rsidRPr="002513B4">
              <w:rPr>
                <w:b/>
                <w:i/>
                <w:iCs/>
              </w:rPr>
              <w:t>Appendix A</w:t>
            </w:r>
            <w:r w:rsidRPr="002513B4">
              <w:t>.</w:t>
            </w:r>
          </w:p>
        </w:tc>
      </w:tr>
      <w:tr w:rsidR="00096472" w:rsidRPr="002513B4" w14:paraId="4C51AB16" w14:textId="77777777">
        <w:tc>
          <w:tcPr>
            <w:tcW w:w="1584" w:type="dxa"/>
          </w:tcPr>
          <w:p w14:paraId="14E046EF" w14:textId="77777777" w:rsidR="00096472" w:rsidRPr="002513B4" w:rsidRDefault="00096472">
            <w:pPr>
              <w:spacing w:after="120"/>
            </w:pPr>
            <w:r w:rsidRPr="002513B4">
              <w:lastRenderedPageBreak/>
              <w:t>Table 4.1</w:t>
            </w:r>
          </w:p>
        </w:tc>
        <w:tc>
          <w:tcPr>
            <w:tcW w:w="8401" w:type="dxa"/>
          </w:tcPr>
          <w:p w14:paraId="7B0E0E78" w14:textId="77777777" w:rsidR="00096472" w:rsidRPr="002513B4" w:rsidRDefault="00096472" w:rsidP="000232E5">
            <w:pPr>
              <w:pStyle w:val="TableBullet"/>
            </w:pPr>
            <w:r w:rsidRPr="002513B4">
              <w:t>Updated the data element label for “Gender” to “Patient Sex”</w:t>
            </w:r>
          </w:p>
          <w:p w14:paraId="654E1504" w14:textId="77777777" w:rsidR="00096472" w:rsidRPr="002513B4" w:rsidRDefault="00096472" w:rsidP="000232E5">
            <w:pPr>
              <w:pStyle w:val="TableBullet"/>
            </w:pPr>
            <w:r w:rsidRPr="002513B4">
              <w:t>Removed the data elements for “Primary diagnosis (ICD 10 for underlying condition)” and “Other diagnosis”.</w:t>
            </w:r>
          </w:p>
          <w:p w14:paraId="7F892B5E" w14:textId="77777777" w:rsidR="00096472" w:rsidRPr="002513B4" w:rsidRDefault="00096472" w:rsidP="000232E5">
            <w:pPr>
              <w:pStyle w:val="TableBullet"/>
            </w:pPr>
            <w:r w:rsidRPr="002513B4">
              <w:t>Added a footnote to the table providing instructions to HHAs regarding activities of daily living.</w:t>
            </w:r>
          </w:p>
        </w:tc>
      </w:tr>
      <w:tr w:rsidR="00096472" w:rsidRPr="002513B4" w14:paraId="7357FE82" w14:textId="77777777">
        <w:tc>
          <w:tcPr>
            <w:tcW w:w="1584" w:type="dxa"/>
          </w:tcPr>
          <w:p w14:paraId="741D413B" w14:textId="77777777" w:rsidR="00096472" w:rsidRPr="002513B4" w:rsidRDefault="00096472">
            <w:pPr>
              <w:spacing w:after="120"/>
            </w:pPr>
            <w:r w:rsidRPr="002513B4">
              <w:t>4.3.6</w:t>
            </w:r>
          </w:p>
        </w:tc>
        <w:tc>
          <w:tcPr>
            <w:tcW w:w="8401" w:type="dxa"/>
          </w:tcPr>
          <w:p w14:paraId="215C7743" w14:textId="77777777" w:rsidR="00096472" w:rsidRPr="002513B4" w:rsidRDefault="00096472">
            <w:pPr>
              <w:spacing w:after="120"/>
            </w:pPr>
            <w:r w:rsidRPr="002513B4">
              <w:t>Removed “Primary Diagnosis” and “Other Diagnosis” from the explanation list of required data elements.</w:t>
            </w:r>
          </w:p>
        </w:tc>
      </w:tr>
      <w:tr w:rsidR="00096472" w:rsidRPr="002513B4" w14:paraId="2C38EED6" w14:textId="77777777">
        <w:tc>
          <w:tcPr>
            <w:tcW w:w="1584" w:type="dxa"/>
          </w:tcPr>
          <w:p w14:paraId="11CBB1C6" w14:textId="77777777" w:rsidR="00096472" w:rsidRPr="002513B4" w:rsidRDefault="00096472">
            <w:pPr>
              <w:spacing w:after="120"/>
            </w:pPr>
            <w:r w:rsidRPr="002513B4">
              <w:t>4.3.7</w:t>
            </w:r>
          </w:p>
        </w:tc>
        <w:tc>
          <w:tcPr>
            <w:tcW w:w="8401" w:type="dxa"/>
          </w:tcPr>
          <w:p w14:paraId="4E6FA5D0" w14:textId="77777777" w:rsidR="00096472" w:rsidRPr="002513B4" w:rsidRDefault="00096472">
            <w:pPr>
              <w:spacing w:after="120"/>
            </w:pPr>
            <w:r w:rsidRPr="002513B4">
              <w:t>Updated the data element label for “gender” to “sex”.</w:t>
            </w:r>
          </w:p>
        </w:tc>
      </w:tr>
      <w:tr w:rsidR="00096472" w:rsidRPr="002513B4" w14:paraId="30E3F198" w14:textId="77777777">
        <w:tc>
          <w:tcPr>
            <w:tcW w:w="1584" w:type="dxa"/>
          </w:tcPr>
          <w:p w14:paraId="1F2F4C27" w14:textId="77777777" w:rsidR="00096472" w:rsidRPr="002513B4" w:rsidRDefault="00096472">
            <w:pPr>
              <w:spacing w:after="120"/>
            </w:pPr>
            <w:r w:rsidRPr="002513B4">
              <w:t>4.6.2 &amp;</w:t>
            </w:r>
          </w:p>
          <w:p w14:paraId="748947C9" w14:textId="77777777" w:rsidR="00096472" w:rsidRPr="002513B4" w:rsidRDefault="00096472">
            <w:pPr>
              <w:spacing w:after="120"/>
            </w:pPr>
            <w:r w:rsidRPr="002513B4">
              <w:t>Table 4.2</w:t>
            </w:r>
          </w:p>
        </w:tc>
        <w:tc>
          <w:tcPr>
            <w:tcW w:w="8401" w:type="dxa"/>
          </w:tcPr>
          <w:p w14:paraId="5193DF22" w14:textId="77777777" w:rsidR="00096472" w:rsidRPr="002513B4" w:rsidRDefault="00096472">
            <w:pPr>
              <w:spacing w:after="120"/>
            </w:pPr>
            <w:r w:rsidRPr="002513B4">
              <w:t>Updated the response rate and sample size information in the table and in corresponding text around the table.</w:t>
            </w:r>
          </w:p>
        </w:tc>
      </w:tr>
      <w:tr w:rsidR="00096472" w:rsidRPr="002513B4" w14:paraId="1FE739F2" w14:textId="77777777">
        <w:tc>
          <w:tcPr>
            <w:tcW w:w="1584" w:type="dxa"/>
          </w:tcPr>
          <w:p w14:paraId="5A8DD0FD" w14:textId="77777777" w:rsidR="00096472" w:rsidRPr="002513B4" w:rsidRDefault="00096472">
            <w:pPr>
              <w:spacing w:after="120"/>
            </w:pPr>
            <w:r w:rsidRPr="002513B4">
              <w:t>5.3</w:t>
            </w:r>
          </w:p>
        </w:tc>
        <w:tc>
          <w:tcPr>
            <w:tcW w:w="8401" w:type="dxa"/>
          </w:tcPr>
          <w:p w14:paraId="0D9763DD" w14:textId="77777777" w:rsidR="00096472" w:rsidRPr="002513B4" w:rsidRDefault="00096472" w:rsidP="000232E5">
            <w:pPr>
              <w:pStyle w:val="TableBullet"/>
            </w:pPr>
            <w:r w:rsidRPr="002513B4">
              <w:t>Provided clarification regarding where vendors can find both the current and revised HHCAHPS Survey materials.</w:t>
            </w:r>
          </w:p>
          <w:p w14:paraId="03DEC29F" w14:textId="77777777" w:rsidR="00096472" w:rsidRPr="002513B4" w:rsidRDefault="00096472" w:rsidP="000232E5">
            <w:pPr>
              <w:pStyle w:val="TableBullet"/>
            </w:pPr>
            <w:r w:rsidRPr="002513B4">
              <w:t>Added a footnote to indicate that survey materials are pending OMB approval.</w:t>
            </w:r>
          </w:p>
          <w:p w14:paraId="13DCFD1F" w14:textId="77777777" w:rsidR="00096472" w:rsidRPr="002513B4" w:rsidRDefault="00096472" w:rsidP="000232E5">
            <w:pPr>
              <w:pStyle w:val="TableBullet"/>
            </w:pPr>
            <w:r w:rsidRPr="002513B4">
              <w:t>Removed redundant information regarding the appendices.</w:t>
            </w:r>
          </w:p>
        </w:tc>
      </w:tr>
      <w:tr w:rsidR="00096472" w:rsidRPr="002513B4" w14:paraId="54D39734" w14:textId="77777777">
        <w:tc>
          <w:tcPr>
            <w:tcW w:w="1584" w:type="dxa"/>
          </w:tcPr>
          <w:p w14:paraId="04A6CEC9" w14:textId="77777777" w:rsidR="00096472" w:rsidRPr="002513B4" w:rsidRDefault="00096472">
            <w:pPr>
              <w:spacing w:after="120"/>
            </w:pPr>
            <w:r w:rsidRPr="002513B4">
              <w:t>5.3.1.1</w:t>
            </w:r>
          </w:p>
        </w:tc>
        <w:tc>
          <w:tcPr>
            <w:tcW w:w="8401" w:type="dxa"/>
          </w:tcPr>
          <w:p w14:paraId="0E57AEA5" w14:textId="77777777" w:rsidR="00096472" w:rsidRPr="002513B4" w:rsidRDefault="00096472">
            <w:pPr>
              <w:spacing w:after="120"/>
            </w:pPr>
            <w:r w:rsidRPr="002513B4">
              <w:t>Added clarification regarding placement of the OMB number, expiration date and OMB disclosure notice.</w:t>
            </w:r>
          </w:p>
        </w:tc>
      </w:tr>
      <w:tr w:rsidR="00B077EA" w:rsidRPr="002513B4" w14:paraId="319A6E24" w14:textId="77777777">
        <w:tc>
          <w:tcPr>
            <w:tcW w:w="1584" w:type="dxa"/>
          </w:tcPr>
          <w:p w14:paraId="47FAFB4F" w14:textId="563FB553" w:rsidR="00B077EA" w:rsidRPr="002513B4" w:rsidRDefault="00B077EA">
            <w:pPr>
              <w:spacing w:after="120"/>
            </w:pPr>
            <w:r w:rsidRPr="002513B4">
              <w:t>5.3.1.3</w:t>
            </w:r>
          </w:p>
        </w:tc>
        <w:tc>
          <w:tcPr>
            <w:tcW w:w="8401" w:type="dxa"/>
          </w:tcPr>
          <w:p w14:paraId="0287DF9E" w14:textId="48D44903" w:rsidR="00B077EA" w:rsidRPr="002513B4" w:rsidRDefault="00B077EA">
            <w:pPr>
              <w:spacing w:after="120"/>
            </w:pPr>
            <w:r w:rsidRPr="002513B4">
              <w:t xml:space="preserve">Added </w:t>
            </w:r>
            <w:r w:rsidR="009D6BF4" w:rsidRPr="002513B4">
              <w:t>clarification regarding HHA use of comments for marketing purposes.</w:t>
            </w:r>
          </w:p>
        </w:tc>
      </w:tr>
      <w:tr w:rsidR="00096472" w:rsidRPr="002513B4" w14:paraId="7194F3A3" w14:textId="77777777">
        <w:tc>
          <w:tcPr>
            <w:tcW w:w="1584" w:type="dxa"/>
          </w:tcPr>
          <w:p w14:paraId="545C869F" w14:textId="77777777" w:rsidR="00096472" w:rsidRPr="002513B4" w:rsidRDefault="00096472">
            <w:pPr>
              <w:spacing w:after="120"/>
            </w:pPr>
            <w:r w:rsidRPr="002513B4">
              <w:t>5.3.2</w:t>
            </w:r>
          </w:p>
        </w:tc>
        <w:tc>
          <w:tcPr>
            <w:tcW w:w="8401" w:type="dxa"/>
          </w:tcPr>
          <w:p w14:paraId="7CA56EB4" w14:textId="77777777" w:rsidR="00096472" w:rsidRPr="002513B4" w:rsidRDefault="00096472">
            <w:pPr>
              <w:spacing w:after="120"/>
            </w:pPr>
            <w:r w:rsidRPr="002513B4">
              <w:t>Provided clarification on requirements for mail survey cover letter text.</w:t>
            </w:r>
          </w:p>
        </w:tc>
      </w:tr>
      <w:tr w:rsidR="00096472" w:rsidRPr="002513B4" w14:paraId="23EEDE5B" w14:textId="77777777">
        <w:tc>
          <w:tcPr>
            <w:tcW w:w="1584" w:type="dxa"/>
          </w:tcPr>
          <w:p w14:paraId="7A53A4FB" w14:textId="77777777" w:rsidR="00096472" w:rsidRPr="002513B4" w:rsidRDefault="00096472">
            <w:pPr>
              <w:spacing w:after="120"/>
            </w:pPr>
            <w:r w:rsidRPr="002513B4">
              <w:t>5.4.1</w:t>
            </w:r>
          </w:p>
        </w:tc>
        <w:tc>
          <w:tcPr>
            <w:tcW w:w="8401" w:type="dxa"/>
          </w:tcPr>
          <w:p w14:paraId="75ED1942" w14:textId="77777777" w:rsidR="00096472" w:rsidRPr="002513B4" w:rsidRDefault="00096472">
            <w:pPr>
              <w:spacing w:after="120"/>
            </w:pPr>
            <w:r w:rsidRPr="002513B4">
              <w:t xml:space="preserve">Added requirement for including members of the HHCAHPS Coordination team and/or CMS as a seed in the mailing upon request. </w:t>
            </w:r>
          </w:p>
        </w:tc>
      </w:tr>
      <w:tr w:rsidR="00096472" w:rsidRPr="002513B4" w14:paraId="16FC4ACD" w14:textId="77777777">
        <w:tc>
          <w:tcPr>
            <w:tcW w:w="1584" w:type="dxa"/>
          </w:tcPr>
          <w:p w14:paraId="1DD519C2" w14:textId="77777777" w:rsidR="00096472" w:rsidRPr="002513B4" w:rsidRDefault="00096472">
            <w:pPr>
              <w:spacing w:after="120"/>
            </w:pPr>
            <w:r w:rsidRPr="002513B4">
              <w:t>5.5.2 - 5.5.4</w:t>
            </w:r>
          </w:p>
        </w:tc>
        <w:tc>
          <w:tcPr>
            <w:tcW w:w="8401" w:type="dxa"/>
          </w:tcPr>
          <w:p w14:paraId="1349F302" w14:textId="77777777" w:rsidR="00096472" w:rsidRPr="002513B4" w:rsidRDefault="00096472">
            <w:pPr>
              <w:spacing w:after="120"/>
            </w:pPr>
            <w:r w:rsidRPr="002513B4">
              <w:t>Separated overall data capture requirements, optical scanning-specific requirements and data entry-specific requirements into 3 sub-sections to remove duplication and streamline.</w:t>
            </w:r>
          </w:p>
        </w:tc>
      </w:tr>
      <w:tr w:rsidR="00096472" w:rsidRPr="002513B4" w14:paraId="1EE6495A" w14:textId="77777777">
        <w:tc>
          <w:tcPr>
            <w:tcW w:w="1584" w:type="dxa"/>
          </w:tcPr>
          <w:p w14:paraId="67CE615A" w14:textId="77777777" w:rsidR="00096472" w:rsidRPr="002513B4" w:rsidRDefault="00096472">
            <w:pPr>
              <w:spacing w:after="120"/>
            </w:pPr>
            <w:r w:rsidRPr="002513B4">
              <w:t>5.7.2</w:t>
            </w:r>
          </w:p>
        </w:tc>
        <w:tc>
          <w:tcPr>
            <w:tcW w:w="8401" w:type="dxa"/>
          </w:tcPr>
          <w:p w14:paraId="7379B373" w14:textId="77777777" w:rsidR="00096472" w:rsidRPr="002513B4" w:rsidRDefault="00096472">
            <w:pPr>
              <w:spacing w:after="120"/>
            </w:pPr>
            <w:r w:rsidRPr="002513B4">
              <w:t>Removed 2 duplicate bullets that are also listed in Section 5.4.2.</w:t>
            </w:r>
          </w:p>
        </w:tc>
      </w:tr>
      <w:tr w:rsidR="00096472" w:rsidRPr="002513B4" w14:paraId="0E338B76" w14:textId="77777777">
        <w:tc>
          <w:tcPr>
            <w:tcW w:w="1584" w:type="dxa"/>
          </w:tcPr>
          <w:p w14:paraId="178B7CFC" w14:textId="77777777" w:rsidR="00096472" w:rsidRPr="002513B4" w:rsidRDefault="00096472">
            <w:pPr>
              <w:spacing w:after="120"/>
            </w:pPr>
            <w:r w:rsidRPr="002513B4">
              <w:t>6.3</w:t>
            </w:r>
          </w:p>
        </w:tc>
        <w:tc>
          <w:tcPr>
            <w:tcW w:w="8401" w:type="dxa"/>
          </w:tcPr>
          <w:p w14:paraId="5D46826C" w14:textId="77777777" w:rsidR="00096472" w:rsidRPr="002513B4" w:rsidRDefault="00096472" w:rsidP="000232E5">
            <w:pPr>
              <w:pStyle w:val="TableBullet"/>
            </w:pPr>
            <w:r w:rsidRPr="002513B4">
              <w:t xml:space="preserve">Provided clarification on where to find telephone survey resources for vendors. </w:t>
            </w:r>
          </w:p>
          <w:p w14:paraId="75064FE2" w14:textId="77777777" w:rsidR="00096472" w:rsidRPr="002513B4" w:rsidRDefault="00096472" w:rsidP="000232E5">
            <w:pPr>
              <w:pStyle w:val="TableBullet"/>
            </w:pPr>
            <w:r w:rsidRPr="002513B4">
              <w:t>Added a footnote to indicate that survey materials are pending OMB approval.</w:t>
            </w:r>
          </w:p>
        </w:tc>
      </w:tr>
      <w:tr w:rsidR="00096472" w:rsidRPr="002513B4" w14:paraId="3F03FC33" w14:textId="77777777">
        <w:tc>
          <w:tcPr>
            <w:tcW w:w="1584" w:type="dxa"/>
          </w:tcPr>
          <w:p w14:paraId="6A79F92B" w14:textId="77777777" w:rsidR="00096472" w:rsidRPr="002513B4" w:rsidRDefault="00096472">
            <w:pPr>
              <w:spacing w:after="120"/>
            </w:pPr>
            <w:r w:rsidRPr="002513B4">
              <w:t>6.4.2</w:t>
            </w:r>
          </w:p>
        </w:tc>
        <w:tc>
          <w:tcPr>
            <w:tcW w:w="8401" w:type="dxa"/>
          </w:tcPr>
          <w:p w14:paraId="6458D583" w14:textId="77777777" w:rsidR="00096472" w:rsidRPr="002513B4" w:rsidRDefault="00096472">
            <w:pPr>
              <w:spacing w:after="120"/>
            </w:pPr>
            <w:r w:rsidRPr="002513B4">
              <w:t>Removed a bullet about the use of proxy respondents as that information is already listed in Section 6.4.1.</w:t>
            </w:r>
          </w:p>
        </w:tc>
      </w:tr>
      <w:tr w:rsidR="00096472" w:rsidRPr="002513B4" w14:paraId="62854FB8" w14:textId="77777777">
        <w:tc>
          <w:tcPr>
            <w:tcW w:w="1584" w:type="dxa"/>
          </w:tcPr>
          <w:p w14:paraId="16EF02CD" w14:textId="77777777" w:rsidR="00096472" w:rsidRPr="002513B4" w:rsidRDefault="00096472">
            <w:pPr>
              <w:spacing w:after="120"/>
            </w:pPr>
            <w:r w:rsidRPr="002513B4">
              <w:lastRenderedPageBreak/>
              <w:t>6.7.1</w:t>
            </w:r>
          </w:p>
        </w:tc>
        <w:tc>
          <w:tcPr>
            <w:tcW w:w="8401" w:type="dxa"/>
          </w:tcPr>
          <w:p w14:paraId="6A4B36E1" w14:textId="77777777" w:rsidR="00096472" w:rsidRPr="002513B4" w:rsidRDefault="00096472">
            <w:pPr>
              <w:spacing w:after="120"/>
            </w:pPr>
            <w:r w:rsidRPr="002513B4">
              <w:t>New requirement that vendor must consider the full calling history of the record when assigning a final status code.</w:t>
            </w:r>
          </w:p>
        </w:tc>
      </w:tr>
      <w:tr w:rsidR="00096472" w:rsidRPr="002513B4" w14:paraId="7DD13079" w14:textId="77777777">
        <w:tc>
          <w:tcPr>
            <w:tcW w:w="1584" w:type="dxa"/>
          </w:tcPr>
          <w:p w14:paraId="2F503AF5" w14:textId="77777777" w:rsidR="00096472" w:rsidRPr="002513B4" w:rsidRDefault="00096472">
            <w:pPr>
              <w:spacing w:after="120"/>
            </w:pPr>
            <w:r w:rsidRPr="002513B4">
              <w:t>6.8.1</w:t>
            </w:r>
          </w:p>
        </w:tc>
        <w:tc>
          <w:tcPr>
            <w:tcW w:w="8401" w:type="dxa"/>
          </w:tcPr>
          <w:p w14:paraId="33F29F2C" w14:textId="77777777" w:rsidR="00096472" w:rsidRPr="002513B4" w:rsidRDefault="00096472">
            <w:pPr>
              <w:spacing w:after="120"/>
            </w:pPr>
            <w:r w:rsidRPr="002513B4">
              <w:t>Updated the footnote with information about states that require two-party or all-party consent for recording.</w:t>
            </w:r>
          </w:p>
        </w:tc>
      </w:tr>
      <w:tr w:rsidR="00096472" w:rsidRPr="002513B4" w14:paraId="231AF7C4" w14:textId="77777777">
        <w:tc>
          <w:tcPr>
            <w:tcW w:w="1584" w:type="dxa"/>
          </w:tcPr>
          <w:p w14:paraId="4FD0888F" w14:textId="77777777" w:rsidR="00096472" w:rsidRPr="002513B4" w:rsidRDefault="00096472">
            <w:pPr>
              <w:spacing w:after="120"/>
            </w:pPr>
            <w:r w:rsidRPr="002513B4">
              <w:t>7.3</w:t>
            </w:r>
          </w:p>
        </w:tc>
        <w:tc>
          <w:tcPr>
            <w:tcW w:w="8401" w:type="dxa"/>
          </w:tcPr>
          <w:p w14:paraId="0E13A7D9" w14:textId="77777777" w:rsidR="00096472" w:rsidRPr="002513B4" w:rsidRDefault="00096472">
            <w:pPr>
              <w:spacing w:after="120"/>
            </w:pPr>
            <w:r w:rsidRPr="002513B4">
              <w:t>Updated Section 7.3 to highlight requirements specific to mixed-mode administration of the HHCAHPS Survey.</w:t>
            </w:r>
          </w:p>
        </w:tc>
      </w:tr>
      <w:tr w:rsidR="00096472" w:rsidRPr="002513B4" w14:paraId="19C7EB80" w14:textId="77777777">
        <w:tc>
          <w:tcPr>
            <w:tcW w:w="1584" w:type="dxa"/>
          </w:tcPr>
          <w:p w14:paraId="5C9FDC10" w14:textId="77777777" w:rsidR="00096472" w:rsidRPr="002513B4" w:rsidRDefault="00096472">
            <w:pPr>
              <w:spacing w:after="120"/>
            </w:pPr>
            <w:r w:rsidRPr="002513B4">
              <w:t xml:space="preserve">7.3 – 7.12 </w:t>
            </w:r>
          </w:p>
        </w:tc>
        <w:tc>
          <w:tcPr>
            <w:tcW w:w="8401" w:type="dxa"/>
          </w:tcPr>
          <w:p w14:paraId="7BCA450D" w14:textId="77777777" w:rsidR="00096472" w:rsidRPr="002513B4" w:rsidRDefault="00096472">
            <w:pPr>
              <w:spacing w:after="120"/>
            </w:pPr>
            <w:r w:rsidRPr="002513B4">
              <w:t xml:space="preserve">Removed sections that were duplicated from </w:t>
            </w:r>
            <w:r w:rsidRPr="002513B4">
              <w:rPr>
                <w:b/>
                <w:bCs/>
                <w:i/>
                <w:iCs/>
              </w:rPr>
              <w:t>Chapters 5</w:t>
            </w:r>
            <w:r w:rsidRPr="002513B4">
              <w:t xml:space="preserve"> and </w:t>
            </w:r>
            <w:r w:rsidRPr="002513B4">
              <w:rPr>
                <w:b/>
                <w:bCs/>
                <w:i/>
                <w:iCs/>
              </w:rPr>
              <w:t>6</w:t>
            </w:r>
            <w:r w:rsidRPr="002513B4">
              <w:t>.</w:t>
            </w:r>
          </w:p>
        </w:tc>
      </w:tr>
      <w:tr w:rsidR="00096472" w:rsidRPr="002513B4" w14:paraId="2D95BF05" w14:textId="77777777">
        <w:tc>
          <w:tcPr>
            <w:tcW w:w="1584" w:type="dxa"/>
          </w:tcPr>
          <w:p w14:paraId="25A25702" w14:textId="77777777" w:rsidR="00096472" w:rsidRPr="002513B4" w:rsidRDefault="00096472">
            <w:pPr>
              <w:spacing w:after="120"/>
            </w:pPr>
            <w:r w:rsidRPr="002513B4">
              <w:t>7.3.1</w:t>
            </w:r>
          </w:p>
        </w:tc>
        <w:tc>
          <w:tcPr>
            <w:tcW w:w="8401" w:type="dxa"/>
          </w:tcPr>
          <w:p w14:paraId="5FF0A278" w14:textId="77777777" w:rsidR="00096472" w:rsidRPr="002513B4" w:rsidRDefault="00096472">
            <w:pPr>
              <w:spacing w:after="120"/>
            </w:pPr>
            <w:r w:rsidRPr="002513B4">
              <w:t>New recommendation that vendors complete the survey over the telephone if a sample member requests it during the mail phase of the data collection.</w:t>
            </w:r>
          </w:p>
        </w:tc>
      </w:tr>
      <w:tr w:rsidR="00096472" w:rsidRPr="002513B4" w14:paraId="25A68AF2" w14:textId="77777777">
        <w:tc>
          <w:tcPr>
            <w:tcW w:w="1584" w:type="dxa"/>
          </w:tcPr>
          <w:p w14:paraId="64CDEC18" w14:textId="77777777" w:rsidR="00096472" w:rsidRPr="002513B4" w:rsidRDefault="00096472">
            <w:pPr>
              <w:spacing w:after="120"/>
            </w:pPr>
            <w:r w:rsidRPr="002513B4">
              <w:t>7.3.2</w:t>
            </w:r>
          </w:p>
        </w:tc>
        <w:tc>
          <w:tcPr>
            <w:tcW w:w="8401" w:type="dxa"/>
          </w:tcPr>
          <w:p w14:paraId="4AE74749" w14:textId="77777777" w:rsidR="00096472" w:rsidRPr="002513B4" w:rsidRDefault="00096472">
            <w:pPr>
              <w:spacing w:after="120"/>
            </w:pPr>
            <w:r w:rsidRPr="002513B4">
              <w:t xml:space="preserve">New requirement clarifying that vendors must update their telephone calling queues throughout the field period to remove cases with a final mail status (e.g. mail survey complete, final refusal, or identification of an ineligible respondent). </w:t>
            </w:r>
          </w:p>
        </w:tc>
      </w:tr>
      <w:tr w:rsidR="00096472" w:rsidRPr="002513B4" w14:paraId="57827A36" w14:textId="77777777">
        <w:tc>
          <w:tcPr>
            <w:tcW w:w="1584" w:type="dxa"/>
          </w:tcPr>
          <w:p w14:paraId="012D2E13" w14:textId="77777777" w:rsidR="00096472" w:rsidRPr="002513B4" w:rsidRDefault="00096472">
            <w:pPr>
              <w:spacing w:after="120"/>
            </w:pPr>
            <w:r w:rsidRPr="002513B4">
              <w:t>7.3.3</w:t>
            </w:r>
          </w:p>
        </w:tc>
        <w:tc>
          <w:tcPr>
            <w:tcW w:w="8401" w:type="dxa"/>
          </w:tcPr>
          <w:p w14:paraId="3D4D3F4E" w14:textId="77777777" w:rsidR="00096472" w:rsidRPr="002513B4" w:rsidRDefault="00096472">
            <w:pPr>
              <w:spacing w:after="120"/>
            </w:pPr>
            <w:r w:rsidRPr="002513B4">
              <w:t>New requirement that vendor must consider the full mail and calling history of the record when assigning a final status code.</w:t>
            </w:r>
          </w:p>
        </w:tc>
      </w:tr>
      <w:tr w:rsidR="00096472" w:rsidRPr="002513B4" w14:paraId="2F0F5209" w14:textId="77777777">
        <w:tc>
          <w:tcPr>
            <w:tcW w:w="1584" w:type="dxa"/>
          </w:tcPr>
          <w:p w14:paraId="43975DFB" w14:textId="77777777" w:rsidR="00096472" w:rsidRPr="002513B4" w:rsidRDefault="00096472">
            <w:pPr>
              <w:spacing w:after="120"/>
            </w:pPr>
            <w:r w:rsidRPr="002513B4">
              <w:t>8.6</w:t>
            </w:r>
          </w:p>
        </w:tc>
        <w:tc>
          <w:tcPr>
            <w:tcW w:w="8401" w:type="dxa"/>
          </w:tcPr>
          <w:p w14:paraId="20FD4366" w14:textId="77777777" w:rsidR="00096472" w:rsidRPr="002513B4" w:rsidRDefault="00096472">
            <w:pPr>
              <w:spacing w:after="120"/>
            </w:pPr>
            <w:r w:rsidRPr="002513B4">
              <w:t>Added a new section to provide additional guidance for vendors regarding official publicly reported results from CMS vs. vendor-provided client reports.</w:t>
            </w:r>
          </w:p>
        </w:tc>
      </w:tr>
      <w:tr w:rsidR="00096472" w:rsidRPr="002513B4" w14:paraId="51CC6788" w14:textId="77777777">
        <w:tc>
          <w:tcPr>
            <w:tcW w:w="1584" w:type="dxa"/>
          </w:tcPr>
          <w:p w14:paraId="26E5454C" w14:textId="77777777" w:rsidR="00096472" w:rsidRPr="002513B4" w:rsidRDefault="00096472">
            <w:pPr>
              <w:spacing w:after="120"/>
            </w:pPr>
            <w:r w:rsidRPr="002513B4">
              <w:t>9.2.2.1</w:t>
            </w:r>
          </w:p>
        </w:tc>
        <w:tc>
          <w:tcPr>
            <w:tcW w:w="8401" w:type="dxa"/>
          </w:tcPr>
          <w:p w14:paraId="44A0398B" w14:textId="77777777" w:rsidR="00096472" w:rsidRPr="002513B4" w:rsidRDefault="00096472">
            <w:pPr>
              <w:spacing w:after="120"/>
            </w:pPr>
            <w:r w:rsidRPr="002513B4">
              <w:t>Added an example of correct disposition coding for an ineligible mail survey case.</w:t>
            </w:r>
          </w:p>
        </w:tc>
      </w:tr>
      <w:tr w:rsidR="00096472" w:rsidRPr="002513B4" w14:paraId="49B6A44B" w14:textId="77777777">
        <w:tc>
          <w:tcPr>
            <w:tcW w:w="1584" w:type="dxa"/>
          </w:tcPr>
          <w:p w14:paraId="3D181E93" w14:textId="77777777" w:rsidR="00096472" w:rsidRPr="002513B4" w:rsidRDefault="00096472">
            <w:pPr>
              <w:spacing w:after="120"/>
            </w:pPr>
            <w:r w:rsidRPr="002513B4">
              <w:t>Exhibits 9-1a &amp; 9-1b</w:t>
            </w:r>
          </w:p>
        </w:tc>
        <w:tc>
          <w:tcPr>
            <w:tcW w:w="8401" w:type="dxa"/>
          </w:tcPr>
          <w:p w14:paraId="6159B661" w14:textId="77777777" w:rsidR="00096472" w:rsidRPr="002513B4" w:rsidRDefault="00096472">
            <w:pPr>
              <w:spacing w:after="120"/>
            </w:pPr>
            <w:r w:rsidRPr="002513B4">
              <w:t>Updated examples and screenshots in both exhibits to reflect revised survey questions.</w:t>
            </w:r>
          </w:p>
        </w:tc>
      </w:tr>
      <w:tr w:rsidR="00096472" w:rsidRPr="002513B4" w14:paraId="3D2CA05E" w14:textId="77777777">
        <w:tc>
          <w:tcPr>
            <w:tcW w:w="1584" w:type="dxa"/>
          </w:tcPr>
          <w:p w14:paraId="7EC9B127" w14:textId="77777777" w:rsidR="00096472" w:rsidRPr="002513B4" w:rsidRDefault="00096472">
            <w:pPr>
              <w:spacing w:after="120"/>
            </w:pPr>
            <w:r w:rsidRPr="002513B4">
              <w:t>Table 9.1</w:t>
            </w:r>
          </w:p>
        </w:tc>
        <w:tc>
          <w:tcPr>
            <w:tcW w:w="8401" w:type="dxa"/>
          </w:tcPr>
          <w:p w14:paraId="1A9E1231" w14:textId="77777777" w:rsidR="00096472" w:rsidRPr="002513B4" w:rsidRDefault="00096472">
            <w:pPr>
              <w:spacing w:after="120"/>
            </w:pPr>
            <w:r w:rsidRPr="002513B4">
              <w:t>Added clarification to survey disposition code definitions.</w:t>
            </w:r>
          </w:p>
        </w:tc>
      </w:tr>
      <w:tr w:rsidR="00096472" w:rsidRPr="002513B4" w14:paraId="224EFC13" w14:textId="77777777">
        <w:tc>
          <w:tcPr>
            <w:tcW w:w="1584" w:type="dxa"/>
          </w:tcPr>
          <w:p w14:paraId="74110352" w14:textId="77777777" w:rsidR="00096472" w:rsidRPr="002513B4" w:rsidRDefault="00096472">
            <w:pPr>
              <w:spacing w:after="120"/>
            </w:pPr>
            <w:r w:rsidRPr="002513B4">
              <w:t>10.2</w:t>
            </w:r>
          </w:p>
        </w:tc>
        <w:tc>
          <w:tcPr>
            <w:tcW w:w="8401" w:type="dxa"/>
          </w:tcPr>
          <w:p w14:paraId="4BB96470" w14:textId="77777777" w:rsidR="00096472" w:rsidRPr="002513B4" w:rsidRDefault="00096472">
            <w:pPr>
              <w:spacing w:after="120"/>
            </w:pPr>
            <w:r w:rsidRPr="002513B4">
              <w:t>Provided clarification regarding where vendors can find both the current and revised HHCAHPS Survey materials.</w:t>
            </w:r>
          </w:p>
        </w:tc>
      </w:tr>
      <w:tr w:rsidR="00096472" w:rsidRPr="002513B4" w14:paraId="69F956DB" w14:textId="77777777">
        <w:tc>
          <w:tcPr>
            <w:tcW w:w="1584" w:type="dxa"/>
          </w:tcPr>
          <w:p w14:paraId="0EDA2539" w14:textId="77777777" w:rsidR="00096472" w:rsidRPr="002513B4" w:rsidRDefault="00096472">
            <w:pPr>
              <w:spacing w:after="120"/>
            </w:pPr>
            <w:r w:rsidRPr="002513B4">
              <w:t>10.3</w:t>
            </w:r>
          </w:p>
        </w:tc>
        <w:tc>
          <w:tcPr>
            <w:tcW w:w="8401" w:type="dxa"/>
          </w:tcPr>
          <w:p w14:paraId="61D2AB0F" w14:textId="77777777" w:rsidR="00096472" w:rsidRPr="002513B4" w:rsidRDefault="00096472">
            <w:pPr>
              <w:spacing w:after="120"/>
            </w:pPr>
            <w:r w:rsidRPr="002513B4">
              <w:t>Provided additional instruction on how to authorize a vendor.</w:t>
            </w:r>
          </w:p>
        </w:tc>
      </w:tr>
      <w:tr w:rsidR="00096472" w:rsidRPr="002513B4" w14:paraId="3AA2F7C6" w14:textId="77777777">
        <w:tc>
          <w:tcPr>
            <w:tcW w:w="1584" w:type="dxa"/>
          </w:tcPr>
          <w:p w14:paraId="1D860BCB" w14:textId="77777777" w:rsidR="00096472" w:rsidRPr="002513B4" w:rsidRDefault="00096472">
            <w:pPr>
              <w:spacing w:after="120"/>
            </w:pPr>
            <w:r w:rsidRPr="002513B4">
              <w:t>10.4.1</w:t>
            </w:r>
          </w:p>
        </w:tc>
        <w:tc>
          <w:tcPr>
            <w:tcW w:w="8401" w:type="dxa"/>
          </w:tcPr>
          <w:p w14:paraId="3A7F245E" w14:textId="77777777" w:rsidR="00096472" w:rsidRPr="002513B4" w:rsidRDefault="00096472">
            <w:pPr>
              <w:spacing w:after="120"/>
            </w:pPr>
            <w:r w:rsidRPr="002513B4">
              <w:t>Added guidance for how and when vendors can receive technical support with their quarterly data submission.</w:t>
            </w:r>
          </w:p>
        </w:tc>
      </w:tr>
      <w:tr w:rsidR="00096472" w:rsidRPr="002513B4" w14:paraId="13BC3A2E" w14:textId="77777777">
        <w:tc>
          <w:tcPr>
            <w:tcW w:w="1584" w:type="dxa"/>
          </w:tcPr>
          <w:p w14:paraId="190847AA" w14:textId="77777777" w:rsidR="00096472" w:rsidRPr="002513B4" w:rsidRDefault="00096472">
            <w:pPr>
              <w:spacing w:after="120"/>
            </w:pPr>
            <w:r w:rsidRPr="002513B4">
              <w:t>10.5.2</w:t>
            </w:r>
          </w:p>
        </w:tc>
        <w:tc>
          <w:tcPr>
            <w:tcW w:w="8401" w:type="dxa"/>
          </w:tcPr>
          <w:p w14:paraId="6DB20B56" w14:textId="77777777" w:rsidR="00096472" w:rsidRPr="002513B4" w:rsidRDefault="00096472" w:rsidP="00AF454B">
            <w:pPr>
              <w:pStyle w:val="TableBullet"/>
              <w:spacing w:line="3" w:lineRule="atLeast"/>
            </w:pPr>
            <w:r w:rsidRPr="002513B4">
              <w:t>Updated the data element label for “Gender” to “Sex”.</w:t>
            </w:r>
          </w:p>
          <w:p w14:paraId="6269E67D" w14:textId="77777777" w:rsidR="00096472" w:rsidRPr="002513B4" w:rsidRDefault="00096472" w:rsidP="003975D1">
            <w:pPr>
              <w:pStyle w:val="TableBullet"/>
            </w:pPr>
            <w:r w:rsidRPr="002513B4">
              <w:t>Removed the data element descriptions for “Primary Diagnosis Code” and “Other Diagnosis Codes”.</w:t>
            </w:r>
          </w:p>
        </w:tc>
      </w:tr>
      <w:tr w:rsidR="00096472" w:rsidRPr="002513B4" w14:paraId="335BC9E6" w14:textId="77777777">
        <w:tc>
          <w:tcPr>
            <w:tcW w:w="1584" w:type="dxa"/>
          </w:tcPr>
          <w:p w14:paraId="3710B859" w14:textId="77777777" w:rsidR="00096472" w:rsidRPr="002513B4" w:rsidRDefault="00096472">
            <w:pPr>
              <w:spacing w:after="120"/>
            </w:pPr>
            <w:r w:rsidRPr="002513B4">
              <w:lastRenderedPageBreak/>
              <w:t>12.2</w:t>
            </w:r>
          </w:p>
        </w:tc>
        <w:tc>
          <w:tcPr>
            <w:tcW w:w="8401" w:type="dxa"/>
          </w:tcPr>
          <w:p w14:paraId="177D0CAB" w14:textId="77777777" w:rsidR="00096472" w:rsidRPr="002513B4" w:rsidRDefault="00096472">
            <w:pPr>
              <w:spacing w:after="120"/>
            </w:pPr>
            <w:r w:rsidRPr="002513B4">
              <w:t>New requirement prohibiting the use of embedded documents in QAP submissions. Vendors are instructed to provide any QAP supporting materials via email.</w:t>
            </w:r>
          </w:p>
        </w:tc>
      </w:tr>
      <w:tr w:rsidR="00096472" w:rsidRPr="002513B4" w14:paraId="64E428C2" w14:textId="77777777">
        <w:tc>
          <w:tcPr>
            <w:tcW w:w="1584" w:type="dxa"/>
          </w:tcPr>
          <w:p w14:paraId="635D44DC" w14:textId="77777777" w:rsidR="00096472" w:rsidRPr="002513B4" w:rsidRDefault="00096472">
            <w:pPr>
              <w:spacing w:after="120"/>
            </w:pPr>
            <w:r w:rsidRPr="002513B4">
              <w:t>12.4</w:t>
            </w:r>
          </w:p>
        </w:tc>
        <w:tc>
          <w:tcPr>
            <w:tcW w:w="8401" w:type="dxa"/>
          </w:tcPr>
          <w:p w14:paraId="0C2790A1" w14:textId="77777777" w:rsidR="00096472" w:rsidRPr="002513B4" w:rsidRDefault="00096472">
            <w:pPr>
              <w:spacing w:after="120"/>
            </w:pPr>
            <w:r w:rsidRPr="002513B4">
              <w:t xml:space="preserve">New requirement that vendors to be responsive to and meet all deadlines set by CMS and the HHCAHPS Survey Coordination team and not doing so may result in a Corrective Action Plan.  </w:t>
            </w:r>
          </w:p>
        </w:tc>
      </w:tr>
      <w:tr w:rsidR="00096472" w:rsidRPr="002513B4" w14:paraId="1663F467" w14:textId="77777777">
        <w:tc>
          <w:tcPr>
            <w:tcW w:w="1584" w:type="dxa"/>
          </w:tcPr>
          <w:p w14:paraId="1FFC8421" w14:textId="77777777" w:rsidR="00096472" w:rsidRPr="002513B4" w:rsidRDefault="00096472">
            <w:pPr>
              <w:spacing w:after="120"/>
            </w:pPr>
            <w:r w:rsidRPr="002513B4">
              <w:t>12.5</w:t>
            </w:r>
          </w:p>
        </w:tc>
        <w:tc>
          <w:tcPr>
            <w:tcW w:w="8401" w:type="dxa"/>
          </w:tcPr>
          <w:p w14:paraId="35659DD0" w14:textId="77777777" w:rsidR="00096472" w:rsidRPr="002513B4" w:rsidRDefault="00096472">
            <w:pPr>
              <w:spacing w:after="120"/>
            </w:pPr>
            <w:r w:rsidRPr="002513B4">
              <w:t>Added text box noting that vendor site visits in 2025 and 2026 will focus on how vendors are preparing for and implementing the revised HHCAHPS Survey.</w:t>
            </w:r>
          </w:p>
        </w:tc>
      </w:tr>
      <w:tr w:rsidR="00096472" w:rsidRPr="002513B4" w14:paraId="2BD64541" w14:textId="77777777">
        <w:tc>
          <w:tcPr>
            <w:tcW w:w="1584" w:type="dxa"/>
          </w:tcPr>
          <w:p w14:paraId="13A3E3F8" w14:textId="77777777" w:rsidR="00096472" w:rsidRPr="002513B4" w:rsidRDefault="00096472">
            <w:pPr>
              <w:spacing w:after="120"/>
            </w:pPr>
            <w:r w:rsidRPr="002513B4">
              <w:t>13.1</w:t>
            </w:r>
          </w:p>
        </w:tc>
        <w:tc>
          <w:tcPr>
            <w:tcW w:w="8401" w:type="dxa"/>
          </w:tcPr>
          <w:p w14:paraId="116D5EB0" w14:textId="6177F35F" w:rsidR="00096472" w:rsidRPr="002513B4" w:rsidRDefault="00096472">
            <w:pPr>
              <w:spacing w:after="120"/>
            </w:pPr>
            <w:r w:rsidRPr="002513B4">
              <w:t>Added text box noting the information in Chapter 13 reflects</w:t>
            </w:r>
            <w:r w:rsidR="00E411DF" w:rsidRPr="002513B4">
              <w:t xml:space="preserve"> the</w:t>
            </w:r>
            <w:r w:rsidRPr="002513B4">
              <w:t xml:space="preserve"> current survey instrument and measures as those data will be publicly reported throughout 2026.</w:t>
            </w:r>
          </w:p>
        </w:tc>
      </w:tr>
      <w:tr w:rsidR="00096472" w:rsidRPr="002513B4" w14:paraId="61AEAAB5" w14:textId="77777777">
        <w:tc>
          <w:tcPr>
            <w:tcW w:w="1584" w:type="dxa"/>
          </w:tcPr>
          <w:p w14:paraId="562B94BF" w14:textId="77777777" w:rsidR="00096472" w:rsidRPr="002513B4" w:rsidRDefault="00096472">
            <w:pPr>
              <w:spacing w:after="120"/>
            </w:pPr>
            <w:r w:rsidRPr="002513B4">
              <w:t>13.2</w:t>
            </w:r>
          </w:p>
        </w:tc>
        <w:tc>
          <w:tcPr>
            <w:tcW w:w="8401" w:type="dxa"/>
          </w:tcPr>
          <w:p w14:paraId="60F63DD3" w14:textId="77777777" w:rsidR="00096472" w:rsidRPr="002513B4" w:rsidRDefault="00096472">
            <w:pPr>
              <w:spacing w:after="120"/>
            </w:pPr>
            <w:r w:rsidRPr="002513B4">
              <w:t>Revised section label that the described measures reflect the current HHCAHPS Survey (through Quarter 1, 2026).</w:t>
            </w:r>
          </w:p>
        </w:tc>
      </w:tr>
      <w:tr w:rsidR="00096472" w:rsidRPr="002513B4" w14:paraId="45455C00" w14:textId="77777777">
        <w:tc>
          <w:tcPr>
            <w:tcW w:w="1584" w:type="dxa"/>
          </w:tcPr>
          <w:p w14:paraId="04D7C08B" w14:textId="77777777" w:rsidR="00096472" w:rsidRPr="002513B4" w:rsidRDefault="00096472">
            <w:pPr>
              <w:spacing w:after="120"/>
            </w:pPr>
            <w:r w:rsidRPr="002513B4">
              <w:t>13.3</w:t>
            </w:r>
          </w:p>
        </w:tc>
        <w:tc>
          <w:tcPr>
            <w:tcW w:w="8401" w:type="dxa"/>
          </w:tcPr>
          <w:p w14:paraId="64023F5A" w14:textId="77777777" w:rsidR="00096472" w:rsidRPr="002513B4" w:rsidRDefault="00096472">
            <w:pPr>
              <w:spacing w:after="120"/>
            </w:pPr>
            <w:r w:rsidRPr="002513B4">
              <w:t>Added a new sub-section that provides a high-level overview of how future measures will be reported with the revised survey instrument.</w:t>
            </w:r>
          </w:p>
        </w:tc>
      </w:tr>
      <w:tr w:rsidR="00096472" w:rsidRPr="002513B4" w14:paraId="0A85808D" w14:textId="77777777">
        <w:tc>
          <w:tcPr>
            <w:tcW w:w="1584" w:type="dxa"/>
          </w:tcPr>
          <w:p w14:paraId="10E752F4" w14:textId="77777777" w:rsidR="00096472" w:rsidRPr="002513B4" w:rsidRDefault="00096472">
            <w:pPr>
              <w:spacing w:after="120"/>
            </w:pPr>
            <w:r w:rsidRPr="002513B4">
              <w:t>Table 13.2</w:t>
            </w:r>
          </w:p>
        </w:tc>
        <w:tc>
          <w:tcPr>
            <w:tcW w:w="8401" w:type="dxa"/>
          </w:tcPr>
          <w:p w14:paraId="15662426" w14:textId="50BC0BAD" w:rsidR="00096472" w:rsidRPr="002513B4" w:rsidRDefault="00096472">
            <w:pPr>
              <w:spacing w:after="120"/>
            </w:pPr>
            <w:r w:rsidRPr="002513B4">
              <w:t>Updated the dates in the table to reflect the January</w:t>
            </w:r>
            <w:r w:rsidR="007C3901" w:rsidRPr="002513B4">
              <w:t>–</w:t>
            </w:r>
            <w:r w:rsidRPr="002513B4">
              <w:t>October 2026 public reporting refreshes.</w:t>
            </w:r>
          </w:p>
        </w:tc>
      </w:tr>
      <w:tr w:rsidR="00096472" w:rsidRPr="002513B4" w14:paraId="67CB3DAC" w14:textId="77777777">
        <w:tc>
          <w:tcPr>
            <w:tcW w:w="1584" w:type="dxa"/>
          </w:tcPr>
          <w:p w14:paraId="3EA16449" w14:textId="77777777" w:rsidR="00096472" w:rsidRPr="002513B4" w:rsidRDefault="00096472">
            <w:pPr>
              <w:spacing w:after="120"/>
            </w:pPr>
            <w:r w:rsidRPr="002513B4">
              <w:t>Appendix A</w:t>
            </w:r>
          </w:p>
        </w:tc>
        <w:tc>
          <w:tcPr>
            <w:tcW w:w="8401" w:type="dxa"/>
          </w:tcPr>
          <w:p w14:paraId="50910DCC" w14:textId="77777777" w:rsidR="00096472" w:rsidRPr="002513B4" w:rsidRDefault="00096472">
            <w:pPr>
              <w:spacing w:after="120"/>
            </w:pPr>
            <w:r w:rsidRPr="002513B4">
              <w:t xml:space="preserve">Updated </w:t>
            </w:r>
            <w:r w:rsidRPr="002513B4">
              <w:rPr>
                <w:b/>
                <w:bCs/>
                <w:i/>
                <w:iCs/>
              </w:rPr>
              <w:t>Appendix A</w:t>
            </w:r>
            <w:r w:rsidRPr="002513B4">
              <w:t xml:space="preserve"> to add direct links to the various HHCAHPS materials and resources referenced throughout the P&amp;G Manual.</w:t>
            </w:r>
          </w:p>
        </w:tc>
      </w:tr>
      <w:tr w:rsidR="00096472" w:rsidRPr="002513B4" w14:paraId="2AAB2F56" w14:textId="77777777">
        <w:tc>
          <w:tcPr>
            <w:tcW w:w="1584" w:type="dxa"/>
          </w:tcPr>
          <w:p w14:paraId="7B09E545" w14:textId="278FB529" w:rsidR="00096472" w:rsidRPr="002513B4" w:rsidRDefault="00096472">
            <w:pPr>
              <w:spacing w:after="120"/>
            </w:pPr>
            <w:r w:rsidRPr="002513B4">
              <w:t xml:space="preserve">Appendix </w:t>
            </w:r>
            <w:r w:rsidR="007C3901" w:rsidRPr="002513B4">
              <w:br/>
            </w:r>
            <w:r w:rsidRPr="002513B4">
              <w:t>B</w:t>
            </w:r>
            <w:r w:rsidR="007C3901" w:rsidRPr="002513B4">
              <w:t>–</w:t>
            </w:r>
            <w:r w:rsidRPr="002513B4">
              <w:t>R</w:t>
            </w:r>
          </w:p>
        </w:tc>
        <w:tc>
          <w:tcPr>
            <w:tcW w:w="8401" w:type="dxa"/>
          </w:tcPr>
          <w:p w14:paraId="45AD7696" w14:textId="3580B8E8" w:rsidR="00096472" w:rsidRPr="002513B4" w:rsidRDefault="00096472">
            <w:pPr>
              <w:spacing w:after="120"/>
            </w:pPr>
            <w:r w:rsidRPr="002513B4">
              <w:t xml:space="preserve">Removed these appendices from the P&amp;G Manual. These resources are available as standalone documents on the HHCAHPS website and linked in new </w:t>
            </w:r>
            <w:r w:rsidRPr="002513B4">
              <w:rPr>
                <w:b/>
                <w:bCs/>
                <w:i/>
                <w:iCs/>
              </w:rPr>
              <w:t>Appendix</w:t>
            </w:r>
            <w:r w:rsidR="007C3901" w:rsidRPr="002513B4">
              <w:rPr>
                <w:b/>
                <w:bCs/>
                <w:i/>
                <w:iCs/>
              </w:rPr>
              <w:t> </w:t>
            </w:r>
            <w:r w:rsidRPr="002513B4">
              <w:rPr>
                <w:b/>
                <w:bCs/>
                <w:i/>
                <w:iCs/>
              </w:rPr>
              <w:t>A</w:t>
            </w:r>
            <w:r w:rsidRPr="002513B4">
              <w:t>.</w:t>
            </w:r>
          </w:p>
        </w:tc>
      </w:tr>
    </w:tbl>
    <w:p w14:paraId="58D8B59F" w14:textId="77777777" w:rsidR="007A062D" w:rsidRPr="002513B4" w:rsidRDefault="007A062D" w:rsidP="007A062D">
      <w:pPr>
        <w:rPr>
          <w:lang w:eastAsia="x-none"/>
        </w:rPr>
      </w:pPr>
    </w:p>
    <w:p w14:paraId="776E2DC0" w14:textId="2C40806C" w:rsidR="007A062D" w:rsidRPr="002513B4" w:rsidRDefault="007A062D" w:rsidP="007A062D">
      <w:pPr>
        <w:rPr>
          <w:lang w:eastAsia="x-none"/>
        </w:rPr>
        <w:sectPr w:rsidR="007A062D" w:rsidRPr="002513B4" w:rsidSect="00662B4E">
          <w:headerReference w:type="even" r:id="rId29"/>
          <w:headerReference w:type="default" r:id="rId30"/>
          <w:footerReference w:type="even" r:id="rId31"/>
          <w:headerReference w:type="first" r:id="rId32"/>
          <w:pgSz w:w="12240" w:h="15840" w:code="1"/>
          <w:pgMar w:top="1440" w:right="1440" w:bottom="1440" w:left="1440" w:header="720" w:footer="720" w:gutter="0"/>
          <w:pgNumType w:fmt="lowerRoman"/>
          <w:cols w:space="720"/>
          <w:titlePg/>
        </w:sectPr>
      </w:pPr>
    </w:p>
    <w:p w14:paraId="25A0577F" w14:textId="40E52875" w:rsidR="00EE74F9" w:rsidRPr="002513B4" w:rsidRDefault="00A21A8E" w:rsidP="00EE74F9">
      <w:pPr>
        <w:pStyle w:val="Heading2"/>
        <w:rPr>
          <w:lang w:val="en-US"/>
        </w:rPr>
      </w:pPr>
      <w:bookmarkStart w:id="11" w:name="_Ref205952182"/>
      <w:bookmarkStart w:id="12" w:name="_Toc224984384"/>
      <w:bookmarkStart w:id="13" w:name="_Toc343765375"/>
      <w:bookmarkStart w:id="14" w:name="_Toc217305548"/>
      <w:r w:rsidRPr="002513B4">
        <w:rPr>
          <w:lang w:val="en-US"/>
        </w:rPr>
        <w:lastRenderedPageBreak/>
        <w:t>Chapter</w:t>
      </w:r>
      <w:r w:rsidR="005C17EF" w:rsidRPr="002513B4">
        <w:rPr>
          <w:lang w:val="en-US"/>
        </w:rPr>
        <w:t xml:space="preserve"> 1:</w:t>
      </w:r>
      <w:r w:rsidR="00EE74F9" w:rsidRPr="002513B4">
        <w:rPr>
          <w:lang w:val="en-US"/>
        </w:rPr>
        <w:t xml:space="preserve"> Overview of the </w:t>
      </w:r>
      <w:r w:rsidR="00EE74F9" w:rsidRPr="002513B4">
        <w:rPr>
          <w:szCs w:val="28"/>
          <w:lang w:val="en-US"/>
        </w:rPr>
        <w:t>Contents</w:t>
      </w:r>
      <w:r w:rsidR="00150E99" w:rsidRPr="002513B4">
        <w:rPr>
          <w:szCs w:val="28"/>
          <w:lang w:val="en-US"/>
        </w:rPr>
        <w:t xml:space="preserve"> </w:t>
      </w:r>
      <w:r w:rsidR="00EE74F9" w:rsidRPr="002513B4">
        <w:rPr>
          <w:lang w:val="en-US"/>
        </w:rPr>
        <w:t>of the Protocol and Guidelines Manual</w:t>
      </w:r>
      <w:bookmarkEnd w:id="11"/>
      <w:bookmarkEnd w:id="12"/>
      <w:bookmarkEnd w:id="13"/>
      <w:bookmarkEnd w:id="14"/>
    </w:p>
    <w:p w14:paraId="13496F58" w14:textId="3A446268" w:rsidR="00EE74F9" w:rsidRPr="002513B4" w:rsidRDefault="005C17EF" w:rsidP="00EE74F9">
      <w:pPr>
        <w:pStyle w:val="Heading3"/>
        <w:rPr>
          <w:lang w:val="en-US"/>
        </w:rPr>
      </w:pPr>
      <w:bookmarkStart w:id="15" w:name="_Toc251318113"/>
      <w:bookmarkStart w:id="16" w:name="_Toc407633036"/>
      <w:bookmarkStart w:id="17" w:name="_Toc24713312"/>
      <w:bookmarkStart w:id="18" w:name="_Toc217305549"/>
      <w:r w:rsidRPr="002513B4">
        <w:rPr>
          <w:lang w:val="en-US"/>
        </w:rPr>
        <w:t>1.1</w:t>
      </w:r>
      <w:r w:rsidRPr="002513B4">
        <w:rPr>
          <w:lang w:val="en-US"/>
        </w:rPr>
        <w:tab/>
      </w:r>
      <w:r w:rsidR="00EE74F9" w:rsidRPr="002513B4">
        <w:rPr>
          <w:lang w:val="en-US"/>
        </w:rPr>
        <w:t>Overview</w:t>
      </w:r>
      <w:bookmarkEnd w:id="15"/>
      <w:bookmarkEnd w:id="16"/>
      <w:bookmarkEnd w:id="17"/>
      <w:bookmarkEnd w:id="18"/>
    </w:p>
    <w:p w14:paraId="03412C09" w14:textId="6F0C2F8E" w:rsidR="00EE74F9" w:rsidRPr="002513B4" w:rsidRDefault="00EE74F9" w:rsidP="00EE74F9">
      <w:pPr>
        <w:pStyle w:val="BodyText"/>
        <w:rPr>
          <w:lang w:val="en-US"/>
        </w:rPr>
      </w:pPr>
      <w:r w:rsidRPr="002513B4">
        <w:rPr>
          <w:lang w:val="en-US"/>
        </w:rPr>
        <w:t xml:space="preserve">The </w:t>
      </w:r>
      <w:r w:rsidRPr="002513B4">
        <w:rPr>
          <w:i/>
          <w:lang w:val="en-US"/>
        </w:rPr>
        <w:t>Home Health Care CAHPS Survey Protocols and Guidelines Manual</w:t>
      </w:r>
      <w:r w:rsidRPr="002513B4">
        <w:rPr>
          <w:lang w:val="en-US"/>
        </w:rPr>
        <w:t xml:space="preserve"> </w:t>
      </w:r>
      <w:r w:rsidR="00C02DC7" w:rsidRPr="002513B4">
        <w:rPr>
          <w:lang w:val="en-US"/>
        </w:rPr>
        <w:t xml:space="preserve">(P&amp;G Manual) </w:t>
      </w:r>
      <w:r w:rsidRPr="002513B4">
        <w:rPr>
          <w:lang w:val="en-US"/>
        </w:rPr>
        <w:t>has been developed by the Centers for Medicare &amp; Medicaid Services (CMS) to provide guidance and standard protocols for conducting the Home Health Care CAHPS</w:t>
      </w:r>
      <w:r w:rsidRPr="002513B4">
        <w:rPr>
          <w:vertAlign w:val="superscript"/>
          <w:lang w:val="en-US"/>
        </w:rPr>
        <w:t>®</w:t>
      </w:r>
      <w:r w:rsidRPr="002513B4">
        <w:rPr>
          <w:rStyle w:val="FootnoteReference"/>
          <w:rFonts w:ascii="Verdana" w:hAnsi="Verdana"/>
          <w:sz w:val="20"/>
          <w:lang w:val="en-US"/>
        </w:rPr>
        <w:footnoteReference w:id="2"/>
      </w:r>
      <w:r w:rsidRPr="002513B4">
        <w:rPr>
          <w:lang w:val="en-US"/>
        </w:rPr>
        <w:t xml:space="preserve"> Survey. The Home Health Care CAHPS Survey, also referred to as HHCAHPS, is part of a family of Consumer Assessment of Healthcare Providers and Systems (CAHPS) survey instruments developed by the Agency for Healthcare Research and Quality (AHRQ) in conjunction with CMS. This section provides survey vendors and home health agencies (HHAs) with a top-level view of the contents of this manual. Each section is briefly described below, along with an explanation of the contents of the appendices.</w:t>
      </w:r>
    </w:p>
    <w:p w14:paraId="7642F70F" w14:textId="68FD7380" w:rsidR="00EE74F9" w:rsidRPr="002513B4" w:rsidRDefault="005C17EF" w:rsidP="00FA38B1">
      <w:pPr>
        <w:pStyle w:val="Heading3"/>
        <w:rPr>
          <w:lang w:val="en-US"/>
        </w:rPr>
      </w:pPr>
      <w:bookmarkStart w:id="19" w:name="_Toc224984386"/>
      <w:bookmarkStart w:id="20" w:name="_Toc251318114"/>
      <w:bookmarkStart w:id="21" w:name="_Toc407633037"/>
      <w:bookmarkStart w:id="22" w:name="_Toc24713313"/>
      <w:bookmarkStart w:id="23" w:name="_Toc217305550"/>
      <w:r w:rsidRPr="002513B4">
        <w:rPr>
          <w:lang w:val="en-US"/>
        </w:rPr>
        <w:t>1.2</w:t>
      </w:r>
      <w:r w:rsidRPr="002513B4">
        <w:rPr>
          <w:lang w:val="en-US"/>
        </w:rPr>
        <w:tab/>
      </w:r>
      <w:r w:rsidR="00A21A8E" w:rsidRPr="002513B4">
        <w:rPr>
          <w:lang w:val="en-US"/>
        </w:rPr>
        <w:t>Chapter</w:t>
      </w:r>
      <w:r w:rsidR="00EE74F9" w:rsidRPr="002513B4">
        <w:rPr>
          <w:lang w:val="en-US"/>
        </w:rPr>
        <w:t>-by-</w:t>
      </w:r>
      <w:r w:rsidR="00A21A8E" w:rsidRPr="002513B4">
        <w:rPr>
          <w:lang w:val="en-US"/>
        </w:rPr>
        <w:t>Chapter</w:t>
      </w:r>
      <w:r w:rsidR="00EE74F9" w:rsidRPr="002513B4">
        <w:rPr>
          <w:lang w:val="en-US"/>
        </w:rPr>
        <w:t xml:space="preserve"> Contents of the </w:t>
      </w:r>
      <w:r w:rsidR="00EE74F9" w:rsidRPr="002513B4">
        <w:rPr>
          <w:i/>
          <w:lang w:val="en-US"/>
        </w:rPr>
        <w:t>Home Health Care CAHPS Survey Protocols and Guidelines Manual</w:t>
      </w:r>
      <w:bookmarkEnd w:id="19"/>
      <w:bookmarkEnd w:id="20"/>
      <w:bookmarkEnd w:id="21"/>
      <w:bookmarkEnd w:id="22"/>
      <w:bookmarkEnd w:id="23"/>
    </w:p>
    <w:p w14:paraId="1C948788" w14:textId="74BE465D" w:rsidR="000E3DAA" w:rsidRPr="002513B4" w:rsidRDefault="000E3DAA" w:rsidP="00EE74F9">
      <w:pPr>
        <w:pStyle w:val="BodyText"/>
        <w:rPr>
          <w:lang w:val="en-US"/>
        </w:rPr>
      </w:pPr>
      <w:r w:rsidRPr="002513B4">
        <w:rPr>
          <w:lang w:val="en-US"/>
        </w:rPr>
        <w:t>The P&amp;G Manual is organized into 14 chapters with each chapter providing information and vendor requirements on a different aspect of the HHCAHPS implementation.  Below we provide a brief description of each chapter</w:t>
      </w:r>
      <w:r w:rsidR="007C3901" w:rsidRPr="002513B4">
        <w:rPr>
          <w:lang w:val="en-US"/>
        </w:rPr>
        <w:t>,</w:t>
      </w:r>
      <w:r w:rsidR="00C02DC7" w:rsidRPr="002513B4">
        <w:rPr>
          <w:lang w:val="en-US"/>
        </w:rPr>
        <w:t xml:space="preserve"> as well as the appendix</w:t>
      </w:r>
      <w:r w:rsidRPr="002513B4">
        <w:rPr>
          <w:lang w:val="en-US"/>
        </w:rPr>
        <w:t>.</w:t>
      </w:r>
    </w:p>
    <w:p w14:paraId="18AE8BB9" w14:textId="57B1373A" w:rsidR="000E3DAA" w:rsidRPr="002513B4" w:rsidRDefault="00090770" w:rsidP="00232B02">
      <w:pPr>
        <w:pStyle w:val="ListBullet"/>
      </w:pPr>
      <w:r w:rsidRPr="002513B4">
        <w:rPr>
          <w:b/>
          <w:bCs/>
          <w:i/>
          <w:iCs/>
          <w:color w:val="1F497D"/>
        </w:rPr>
        <w:t xml:space="preserve">Chapter </w:t>
      </w:r>
      <w:r w:rsidR="008222E9" w:rsidRPr="002513B4">
        <w:rPr>
          <w:b/>
          <w:bCs/>
          <w:i/>
          <w:iCs/>
          <w:color w:val="1F497D"/>
        </w:rPr>
        <w:t>2</w:t>
      </w:r>
      <w:r w:rsidR="000E3DAA" w:rsidRPr="002513B4">
        <w:rPr>
          <w:b/>
          <w:bCs/>
          <w:i/>
          <w:iCs/>
          <w:color w:val="1F497D"/>
        </w:rPr>
        <w:t xml:space="preserve">, Information and Background. </w:t>
      </w:r>
      <w:r w:rsidR="000E3DAA" w:rsidRPr="002513B4">
        <w:t>P</w:t>
      </w:r>
      <w:r w:rsidR="00EE74F9" w:rsidRPr="002513B4">
        <w:t>rovides information about the purpose of the HHCAHPS Survey and history of the HHCAHPS Survey initiative, including a discussion of the instrument development</w:t>
      </w:r>
      <w:r w:rsidR="0001157A" w:rsidRPr="002513B4">
        <w:t>,</w:t>
      </w:r>
      <w:r w:rsidR="00EE74F9" w:rsidRPr="002513B4">
        <w:t xml:space="preserve"> field test </w:t>
      </w:r>
      <w:r w:rsidR="0001157A" w:rsidRPr="002513B4">
        <w:t xml:space="preserve">and mode experiment </w:t>
      </w:r>
      <w:r w:rsidR="00EE74F9" w:rsidRPr="002513B4">
        <w:t>activities. It also includes information about the public reporting timeline and sources for more information about the HHCAHPS Survey.</w:t>
      </w:r>
    </w:p>
    <w:p w14:paraId="40D57A61" w14:textId="7A252863" w:rsidR="000E3DAA" w:rsidRPr="002513B4" w:rsidRDefault="00090770" w:rsidP="00232B02">
      <w:pPr>
        <w:pStyle w:val="ListBullet"/>
        <w:rPr>
          <w:szCs w:val="16"/>
        </w:rPr>
      </w:pPr>
      <w:r w:rsidRPr="002513B4">
        <w:rPr>
          <w:b/>
          <w:bCs/>
          <w:i/>
          <w:iCs/>
          <w:color w:val="1F497D"/>
        </w:rPr>
        <w:t xml:space="preserve">Chapter </w:t>
      </w:r>
      <w:r w:rsidR="008222E9" w:rsidRPr="002513B4">
        <w:rPr>
          <w:b/>
          <w:bCs/>
          <w:i/>
          <w:iCs/>
          <w:color w:val="1F497D"/>
        </w:rPr>
        <w:t>3</w:t>
      </w:r>
      <w:r w:rsidR="000E3DAA" w:rsidRPr="002513B4">
        <w:rPr>
          <w:b/>
          <w:bCs/>
          <w:i/>
          <w:iCs/>
          <w:color w:val="1F497D"/>
        </w:rPr>
        <w:t xml:space="preserve">, HHCAHPS Survey Participation Requirements. </w:t>
      </w:r>
      <w:r w:rsidR="000E3DAA" w:rsidRPr="002513B4">
        <w:t>D</w:t>
      </w:r>
      <w:r w:rsidR="00EE74F9" w:rsidRPr="002513B4">
        <w:t>escribes the roles and responsibilities of CMS, the HHCAHPS Survey Coordination Team, HHAs, and approved survey vendors on the national implementation of the HHCAHPS Survey. It also includes information on the vendor rules of participation and business requirements for becoming an approved survey vendor. Information about how to communicate with and obtain technical assistance from the HHCAHPS Survey Coordination Team is also provided in this chapter.</w:t>
      </w:r>
    </w:p>
    <w:p w14:paraId="1DFA7166" w14:textId="42746F65" w:rsidR="000E3DAA" w:rsidRPr="002513B4" w:rsidRDefault="000E3DAA" w:rsidP="00232B02">
      <w:pPr>
        <w:pStyle w:val="ListBullet"/>
      </w:pPr>
      <w:r w:rsidRPr="002513B4">
        <w:rPr>
          <w:b/>
          <w:bCs/>
          <w:i/>
          <w:iCs/>
          <w:color w:val="1F497D"/>
        </w:rPr>
        <w:lastRenderedPageBreak/>
        <w:t>Chapter 4, Sampling Procedures.</w:t>
      </w:r>
      <w:r w:rsidRPr="002513B4">
        <w:rPr>
          <w:color w:val="1F497D"/>
        </w:rPr>
        <w:t xml:space="preserve"> </w:t>
      </w:r>
      <w:r w:rsidRPr="002513B4">
        <w:t>Provides i</w:t>
      </w:r>
      <w:r w:rsidR="00EE74F9" w:rsidRPr="002513B4">
        <w:t>nformation on the sampling process, requirements for developing the sample frame, and selection of a sample of patients for the HHCAHPS Survey</w:t>
      </w:r>
      <w:r w:rsidRPr="002513B4">
        <w:t>.</w:t>
      </w:r>
    </w:p>
    <w:p w14:paraId="3FF6B024" w14:textId="3DA36E07" w:rsidR="00C02DC7" w:rsidRPr="002513B4" w:rsidRDefault="00090770" w:rsidP="00232B02">
      <w:pPr>
        <w:pStyle w:val="ListBullet"/>
      </w:pPr>
      <w:r w:rsidRPr="002513B4">
        <w:rPr>
          <w:b/>
          <w:bCs/>
          <w:i/>
          <w:iCs/>
          <w:color w:val="1F497D"/>
        </w:rPr>
        <w:t xml:space="preserve">Chapter </w:t>
      </w:r>
      <w:r w:rsidR="00A21A8E" w:rsidRPr="002513B4">
        <w:rPr>
          <w:b/>
          <w:bCs/>
          <w:i/>
          <w:iCs/>
          <w:color w:val="1F497D"/>
        </w:rPr>
        <w:t>5</w:t>
      </w:r>
      <w:r w:rsidR="000E3DAA" w:rsidRPr="002513B4">
        <w:rPr>
          <w:b/>
          <w:bCs/>
          <w:i/>
          <w:iCs/>
          <w:color w:val="1F497D"/>
        </w:rPr>
        <w:t xml:space="preserve">, Mail-Only Administration Procedures. </w:t>
      </w:r>
      <w:r w:rsidR="000E3DAA" w:rsidRPr="002513B4">
        <w:t>C</w:t>
      </w:r>
      <w:r w:rsidR="00EE74F9" w:rsidRPr="002513B4">
        <w:t xml:space="preserve">ontains the protocols and guidelines for administering the HHCAHPS Survey as a </w:t>
      </w:r>
      <w:r w:rsidR="00EE74F9" w:rsidRPr="002513B4">
        <w:rPr>
          <w:i/>
          <w:iCs/>
        </w:rPr>
        <w:t>mail-only</w:t>
      </w:r>
      <w:r w:rsidR="00EE74F9" w:rsidRPr="002513B4">
        <w:t xml:space="preserve"> survey. The data collection schedule, production and mailing requirements, data receipt and processing requirements, and quality control and data storage guidelines associated with conducting a mail-only mode survey are covered in detail.</w:t>
      </w:r>
    </w:p>
    <w:p w14:paraId="5D89F246" w14:textId="0E17F810" w:rsidR="00C02DC7" w:rsidRPr="002513B4" w:rsidRDefault="00C02DC7" w:rsidP="00232B02">
      <w:pPr>
        <w:pStyle w:val="ListBullet"/>
      </w:pPr>
      <w:r w:rsidRPr="002513B4">
        <w:rPr>
          <w:b/>
          <w:bCs/>
          <w:i/>
          <w:iCs/>
          <w:color w:val="1F497D"/>
        </w:rPr>
        <w:t>Chapter 6, Telephone-Only Administration Procedures.</w:t>
      </w:r>
      <w:r w:rsidRPr="002513B4">
        <w:rPr>
          <w:color w:val="1F497D"/>
        </w:rPr>
        <w:t xml:space="preserve"> </w:t>
      </w:r>
      <w:r w:rsidRPr="002513B4">
        <w:t>Provides p</w:t>
      </w:r>
      <w:r w:rsidR="00EE74F9" w:rsidRPr="002513B4">
        <w:t xml:space="preserve">rocedures and guidelines for administering the HHCAHPS Survey as a </w:t>
      </w:r>
      <w:r w:rsidR="00EE74F9" w:rsidRPr="002513B4">
        <w:rPr>
          <w:i/>
          <w:iCs/>
        </w:rPr>
        <w:t>telephone-only</w:t>
      </w:r>
      <w:r w:rsidR="00EE74F9" w:rsidRPr="002513B4">
        <w:t xml:space="preserve"> survey</w:t>
      </w:r>
      <w:r w:rsidRPr="002513B4">
        <w:t>.</w:t>
      </w:r>
      <w:r w:rsidR="00EE74F9" w:rsidRPr="002513B4">
        <w:t xml:space="preserve"> The data collection schedule, the electronic data collection and tracking system</w:t>
      </w:r>
      <w:r w:rsidR="0001157A" w:rsidRPr="002513B4">
        <w:t xml:space="preserve"> requirements</w:t>
      </w:r>
      <w:r w:rsidR="00EE74F9" w:rsidRPr="002513B4">
        <w:t>, telephone interviewing requirements, and quality control and data storage guidelines associated with conducting a telephone-only mode survey are covered in detail.</w:t>
      </w:r>
    </w:p>
    <w:p w14:paraId="01143728" w14:textId="37BEA259" w:rsidR="00C02DC7" w:rsidRPr="002513B4" w:rsidRDefault="00090770" w:rsidP="00232B02">
      <w:pPr>
        <w:pStyle w:val="ListBullet"/>
      </w:pPr>
      <w:r w:rsidRPr="002513B4">
        <w:rPr>
          <w:b/>
          <w:bCs/>
          <w:i/>
          <w:iCs/>
          <w:color w:val="1F497D"/>
        </w:rPr>
        <w:t xml:space="preserve">Chapter </w:t>
      </w:r>
      <w:r w:rsidR="00A21A8E" w:rsidRPr="002513B4">
        <w:rPr>
          <w:b/>
          <w:bCs/>
          <w:i/>
          <w:iCs/>
          <w:color w:val="1F497D"/>
        </w:rPr>
        <w:t>7</w:t>
      </w:r>
      <w:r w:rsidR="00C02DC7" w:rsidRPr="002513B4">
        <w:rPr>
          <w:b/>
          <w:bCs/>
          <w:i/>
          <w:iCs/>
          <w:color w:val="1F497D"/>
        </w:rPr>
        <w:t xml:space="preserve">, Mixed Mode Administration Procedures. </w:t>
      </w:r>
      <w:r w:rsidR="00C02DC7" w:rsidRPr="002513B4">
        <w:t>C</w:t>
      </w:r>
      <w:r w:rsidR="00EE74F9" w:rsidRPr="002513B4">
        <w:t>ontains the protocols and guidelines for</w:t>
      </w:r>
      <w:r w:rsidR="008B6215" w:rsidRPr="002513B4">
        <w:t xml:space="preserve"> specific for</w:t>
      </w:r>
      <w:r w:rsidR="00EE74F9" w:rsidRPr="002513B4">
        <w:t xml:space="preserve"> administering the HHCAHPS Survey as a </w:t>
      </w:r>
      <w:r w:rsidR="00EE74F9" w:rsidRPr="002513B4">
        <w:rPr>
          <w:i/>
          <w:iCs/>
        </w:rPr>
        <w:t>mixed-mode</w:t>
      </w:r>
      <w:r w:rsidR="00EE74F9" w:rsidRPr="002513B4">
        <w:t xml:space="preserve"> survey—that is, mail survey with telephone follow-up of nonrespondents. </w:t>
      </w:r>
      <w:r w:rsidR="008B6215" w:rsidRPr="002513B4">
        <w:t xml:space="preserve">Specific requirements for each component of conducting the mixed-mode survey is found in </w:t>
      </w:r>
      <w:r w:rsidR="008B6215" w:rsidRPr="002513B4">
        <w:rPr>
          <w:b/>
          <w:bCs/>
          <w:i/>
          <w:iCs/>
        </w:rPr>
        <w:t>Cha</w:t>
      </w:r>
      <w:r w:rsidR="00C6225E" w:rsidRPr="002513B4">
        <w:rPr>
          <w:b/>
          <w:bCs/>
          <w:i/>
          <w:iCs/>
        </w:rPr>
        <w:t>pters 5</w:t>
      </w:r>
      <w:r w:rsidR="00C6225E" w:rsidRPr="002513B4">
        <w:t xml:space="preserve"> and </w:t>
      </w:r>
      <w:r w:rsidR="00C6225E" w:rsidRPr="002513B4">
        <w:rPr>
          <w:b/>
          <w:bCs/>
          <w:i/>
          <w:iCs/>
        </w:rPr>
        <w:t>6</w:t>
      </w:r>
      <w:r w:rsidR="00C6225E" w:rsidRPr="002513B4">
        <w:t xml:space="preserve">. </w:t>
      </w:r>
    </w:p>
    <w:p w14:paraId="7C799A99" w14:textId="715EE1F3" w:rsidR="00C02DC7" w:rsidRPr="002513B4" w:rsidRDefault="00090770" w:rsidP="00232B02">
      <w:pPr>
        <w:pStyle w:val="ListBullet"/>
      </w:pPr>
      <w:r w:rsidRPr="002513B4">
        <w:rPr>
          <w:b/>
          <w:bCs/>
          <w:i/>
          <w:iCs/>
          <w:color w:val="1F497D"/>
        </w:rPr>
        <w:t xml:space="preserve">Chapter </w:t>
      </w:r>
      <w:r w:rsidR="00A21A8E" w:rsidRPr="002513B4">
        <w:rPr>
          <w:b/>
          <w:bCs/>
          <w:i/>
          <w:iCs/>
          <w:color w:val="1F497D"/>
        </w:rPr>
        <w:t>8</w:t>
      </w:r>
      <w:r w:rsidR="00C02DC7" w:rsidRPr="002513B4">
        <w:rPr>
          <w:b/>
          <w:bCs/>
          <w:i/>
          <w:iCs/>
          <w:color w:val="1F497D"/>
        </w:rPr>
        <w:t xml:space="preserve">, Confidentiality and Data Security. </w:t>
      </w:r>
      <w:r w:rsidR="00C02DC7" w:rsidRPr="002513B4">
        <w:t>D</w:t>
      </w:r>
      <w:r w:rsidR="00EE74F9" w:rsidRPr="002513B4">
        <w:t>escribes</w:t>
      </w:r>
      <w:r w:rsidR="00EE74F9" w:rsidRPr="002513B4">
        <w:rPr>
          <w:b/>
          <w:bCs/>
          <w:i/>
          <w:iCs/>
        </w:rPr>
        <w:t xml:space="preserve"> </w:t>
      </w:r>
      <w:r w:rsidR="00EE74F9" w:rsidRPr="002513B4">
        <w:t>the requirements and guidelines for protecting the identity of sample members included in the survey sample, safeguarding confidentiality of respondent data, and ensuring data security.</w:t>
      </w:r>
    </w:p>
    <w:p w14:paraId="26E603F0" w14:textId="7005A4D6" w:rsidR="00C02DC7" w:rsidRPr="002513B4" w:rsidRDefault="00C02DC7" w:rsidP="00232B02">
      <w:pPr>
        <w:pStyle w:val="ListBullet"/>
      </w:pPr>
      <w:r w:rsidRPr="002513B4">
        <w:rPr>
          <w:b/>
          <w:bCs/>
          <w:i/>
          <w:iCs/>
          <w:color w:val="1F497D"/>
        </w:rPr>
        <w:t>Chapter 9, Data Processing and Coding.</w:t>
      </w:r>
      <w:r w:rsidRPr="002513B4">
        <w:rPr>
          <w:color w:val="1F497D"/>
        </w:rPr>
        <w:t xml:space="preserve"> </w:t>
      </w:r>
      <w:r w:rsidRPr="002513B4">
        <w:t>Provides d</w:t>
      </w:r>
      <w:r w:rsidR="00EE74F9" w:rsidRPr="002513B4">
        <w:t>ata processing procedures, including the assignment of a unique sample identification number to each sampled case, decision rules for assigning survey disposition codes, and the definition of a completed survey</w:t>
      </w:r>
      <w:r w:rsidRPr="002513B4">
        <w:t>.</w:t>
      </w:r>
      <w:r w:rsidR="00EE74F9" w:rsidRPr="002513B4">
        <w:t xml:space="preserve"> </w:t>
      </w:r>
    </w:p>
    <w:p w14:paraId="49B7319E" w14:textId="1CE9DC08" w:rsidR="00C02DC7" w:rsidRPr="002513B4" w:rsidRDefault="00090770" w:rsidP="00232B02">
      <w:pPr>
        <w:pStyle w:val="ListBullet"/>
        <w:rPr>
          <w:szCs w:val="16"/>
        </w:rPr>
      </w:pPr>
      <w:r w:rsidRPr="002513B4">
        <w:rPr>
          <w:b/>
          <w:bCs/>
          <w:i/>
          <w:iCs/>
          <w:color w:val="1F497D"/>
        </w:rPr>
        <w:t xml:space="preserve">Chapter </w:t>
      </w:r>
      <w:r w:rsidR="007E4F34" w:rsidRPr="002513B4">
        <w:rPr>
          <w:b/>
          <w:bCs/>
          <w:i/>
          <w:iCs/>
          <w:color w:val="1F497D"/>
        </w:rPr>
        <w:t>10</w:t>
      </w:r>
      <w:r w:rsidR="00C02DC7" w:rsidRPr="002513B4">
        <w:rPr>
          <w:b/>
          <w:bCs/>
          <w:i/>
          <w:iCs/>
          <w:color w:val="1F497D"/>
        </w:rPr>
        <w:t xml:space="preserve">, Website and File Submissions. </w:t>
      </w:r>
      <w:r w:rsidR="00C02DC7" w:rsidRPr="002513B4">
        <w:t>P</w:t>
      </w:r>
      <w:r w:rsidR="00EE74F9" w:rsidRPr="002513B4">
        <w:t xml:space="preserve">rovides an overview of the purpose and functions of the </w:t>
      </w:r>
      <w:hyperlink r:id="rId33" w:history="1">
        <w:r w:rsidR="001025B3" w:rsidRPr="002513B4">
          <w:rPr>
            <w:rStyle w:val="Hyperlink"/>
          </w:rPr>
          <w:t>HHCAHPS Survey website</w:t>
        </w:r>
        <w:r w:rsidR="00694441" w:rsidRPr="002513B4">
          <w:t> </w:t>
        </w:r>
      </w:hyperlink>
      <w:r w:rsidR="00694441" w:rsidRPr="002513B4">
        <w:rPr>
          <w:noProof/>
        </w:rPr>
        <w:drawing>
          <wp:inline distT="0" distB="0" distL="0" distR="0" wp14:anchorId="7DE49193" wp14:editId="538C2042">
            <wp:extent cx="95250" cy="95250"/>
            <wp:effectExtent l="0" t="0" r="0" b="0"/>
            <wp:docPr id="531759256" name="Graphic 531759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EE74F9" w:rsidRPr="002513B4">
        <w:t xml:space="preserve"> and a summary description of how to prepare and submit data files following HHCAHPS Survey data file preparation and submission guidelines. More detailed information about the HHCAHPS Survey website and the data submission process, including screenshots of the data submission tool and instructions for data submission, is included in the </w:t>
      </w:r>
      <w:r w:rsidR="00EE74F9" w:rsidRPr="002513B4">
        <w:rPr>
          <w:i/>
        </w:rPr>
        <w:t xml:space="preserve">Home Health Care CAHPS Survey Website User and Data Submission Manual, Version </w:t>
      </w:r>
      <w:r w:rsidR="00CE58CE" w:rsidRPr="002513B4">
        <w:rPr>
          <w:i/>
        </w:rPr>
        <w:t>1</w:t>
      </w:r>
      <w:r w:rsidR="001025B3" w:rsidRPr="002513B4">
        <w:rPr>
          <w:i/>
        </w:rPr>
        <w:t>4</w:t>
      </w:r>
      <w:r w:rsidR="00EE74F9" w:rsidRPr="002513B4">
        <w:rPr>
          <w:i/>
        </w:rPr>
        <w:t>.0</w:t>
      </w:r>
      <w:r w:rsidR="005D7899" w:rsidRPr="002513B4">
        <w:rPr>
          <w:iCs/>
        </w:rPr>
        <w:t>,</w:t>
      </w:r>
      <w:r w:rsidR="001025B3" w:rsidRPr="002513B4">
        <w:rPr>
          <w:i/>
        </w:rPr>
        <w:t xml:space="preserve"> </w:t>
      </w:r>
      <w:r w:rsidR="001025B3" w:rsidRPr="002513B4">
        <w:rPr>
          <w:iCs/>
        </w:rPr>
        <w:t xml:space="preserve">available on the </w:t>
      </w:r>
      <w:hyperlink r:id="rId34" w:history="1">
        <w:r w:rsidR="00694441" w:rsidRPr="002513B4">
          <w:rPr>
            <w:rStyle w:val="Hyperlink"/>
            <w:iCs/>
          </w:rPr>
          <w:t>Data</w:t>
        </w:r>
        <w:r w:rsidR="00CE7A7E" w:rsidRPr="002513B4">
          <w:rPr>
            <w:rStyle w:val="Hyperlink"/>
            <w:iCs/>
          </w:rPr>
          <w:t xml:space="preserve"> </w:t>
        </w:r>
        <w:r w:rsidR="00694441" w:rsidRPr="002513B4">
          <w:rPr>
            <w:rStyle w:val="Hyperlink"/>
            <w:iCs/>
          </w:rPr>
          <w:t>Submission Resources web</w:t>
        </w:r>
        <w:r w:rsidR="00DB4C5C" w:rsidRPr="002513B4">
          <w:rPr>
            <w:rStyle w:val="Hyperlink"/>
            <w:iCs/>
          </w:rPr>
          <w:t xml:space="preserve"> </w:t>
        </w:r>
        <w:r w:rsidR="00694441" w:rsidRPr="002513B4">
          <w:rPr>
            <w:rStyle w:val="Hyperlink"/>
            <w:iCs/>
          </w:rPr>
          <w:t>page</w:t>
        </w:r>
      </w:hyperlink>
      <w:r w:rsidR="00694441" w:rsidRPr="002513B4">
        <w:t> </w:t>
      </w:r>
      <w:r w:rsidR="00694441" w:rsidRPr="002513B4">
        <w:rPr>
          <w:noProof/>
        </w:rPr>
        <w:drawing>
          <wp:inline distT="0" distB="0" distL="0" distR="0" wp14:anchorId="71F49E58" wp14:editId="506B8BE8">
            <wp:extent cx="95250" cy="95250"/>
            <wp:effectExtent l="0" t="0" r="0" b="0"/>
            <wp:docPr id="1579376955" name="Graphic 1579376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DB4C5C" w:rsidRPr="002513B4">
        <w:t xml:space="preserve"> of the HHCAHPS Survey website</w:t>
      </w:r>
      <w:r w:rsidR="00EE74F9" w:rsidRPr="002513B4">
        <w:rPr>
          <w:i/>
        </w:rPr>
        <w:t>.</w:t>
      </w:r>
    </w:p>
    <w:p w14:paraId="2D3713BE" w14:textId="30F818BD" w:rsidR="00C02DC7" w:rsidRPr="002513B4" w:rsidRDefault="00090770" w:rsidP="00232B02">
      <w:pPr>
        <w:pStyle w:val="ListBullet"/>
      </w:pPr>
      <w:r w:rsidRPr="002513B4">
        <w:rPr>
          <w:b/>
          <w:bCs/>
          <w:i/>
          <w:iCs/>
          <w:color w:val="1F497D"/>
        </w:rPr>
        <w:t xml:space="preserve">Chapter </w:t>
      </w:r>
      <w:r w:rsidR="007E4F34" w:rsidRPr="002513B4">
        <w:rPr>
          <w:b/>
          <w:bCs/>
          <w:i/>
          <w:iCs/>
          <w:color w:val="1F497D"/>
        </w:rPr>
        <w:t>11</w:t>
      </w:r>
      <w:r w:rsidR="00C02DC7" w:rsidRPr="002513B4">
        <w:rPr>
          <w:b/>
          <w:bCs/>
          <w:i/>
          <w:iCs/>
          <w:color w:val="1F497D"/>
        </w:rPr>
        <w:t xml:space="preserve">, HHCAHPS Survey Website Reports. </w:t>
      </w:r>
      <w:r w:rsidR="00C02DC7" w:rsidRPr="002513B4">
        <w:t>P</w:t>
      </w:r>
      <w:r w:rsidR="00EE74F9" w:rsidRPr="002513B4">
        <w:t>rovides an overview of the reports available to vendors and HHAs through the HHCAHPS Survey website. The reports are described briefly, with an emphasis on the intended audience for each report and how the reports should be used.</w:t>
      </w:r>
    </w:p>
    <w:p w14:paraId="1C7C34F2" w14:textId="5CF18395" w:rsidR="00C02DC7" w:rsidRPr="002513B4" w:rsidRDefault="00090770" w:rsidP="00232B02">
      <w:pPr>
        <w:pStyle w:val="ListBullet"/>
      </w:pPr>
      <w:r w:rsidRPr="002513B4">
        <w:rPr>
          <w:b/>
          <w:bCs/>
          <w:i/>
          <w:iCs/>
          <w:color w:val="1F497D"/>
        </w:rPr>
        <w:lastRenderedPageBreak/>
        <w:t xml:space="preserve">Chapter </w:t>
      </w:r>
      <w:r w:rsidR="007E4F34" w:rsidRPr="002513B4">
        <w:rPr>
          <w:b/>
          <w:bCs/>
          <w:i/>
          <w:iCs/>
          <w:color w:val="1F497D"/>
        </w:rPr>
        <w:t>12</w:t>
      </w:r>
      <w:r w:rsidR="00C02DC7" w:rsidRPr="002513B4">
        <w:rPr>
          <w:b/>
          <w:bCs/>
          <w:i/>
          <w:iCs/>
          <w:color w:val="1F497D"/>
        </w:rPr>
        <w:t xml:space="preserve">, Oversight Activities. </w:t>
      </w:r>
      <w:r w:rsidR="00C02DC7" w:rsidRPr="002513B4">
        <w:t>P</w:t>
      </w:r>
      <w:r w:rsidR="00EE74F9" w:rsidRPr="002513B4">
        <w:t xml:space="preserve">rovides information about the quality assurance activities that the HHCAHPS Survey Coordination Team and CMS </w:t>
      </w:r>
      <w:r w:rsidR="0001157A" w:rsidRPr="002513B4">
        <w:t>use</w:t>
      </w:r>
      <w:r w:rsidR="00EE74F9" w:rsidRPr="002513B4">
        <w:t xml:space="preserve"> to </w:t>
      </w:r>
      <w:r w:rsidR="00FD36FB" w:rsidRPr="002513B4">
        <w:t xml:space="preserve">oversee </w:t>
      </w:r>
      <w:r w:rsidR="00EE74F9" w:rsidRPr="002513B4">
        <w:t>the successful administration of the HHCAHPS Survey by survey vendors. The chapter begins with a discussion of the vendor Quality Assurance Plan</w:t>
      </w:r>
      <w:r w:rsidR="00C10F09" w:rsidRPr="002513B4">
        <w:t xml:space="preserve"> (QAP)</w:t>
      </w:r>
      <w:r w:rsidR="00EE74F9" w:rsidRPr="002513B4">
        <w:t xml:space="preserve"> and reviews the various activities that the Coordination Team will conduct to </w:t>
      </w:r>
      <w:r w:rsidR="00783BFA" w:rsidRPr="002513B4">
        <w:t xml:space="preserve">confirm </w:t>
      </w:r>
      <w:r w:rsidR="00EE74F9" w:rsidRPr="002513B4">
        <w:t>compliance with HHCAHPS Survey protocols and guidelines.</w:t>
      </w:r>
    </w:p>
    <w:p w14:paraId="7D387CCB" w14:textId="0ABBC8C1" w:rsidR="00C02DC7" w:rsidRPr="002513B4" w:rsidRDefault="00090770" w:rsidP="00232B02">
      <w:pPr>
        <w:pStyle w:val="ListBullet"/>
      </w:pPr>
      <w:r w:rsidRPr="002513B4">
        <w:rPr>
          <w:b/>
          <w:bCs/>
          <w:i/>
          <w:iCs/>
          <w:color w:val="1F497D"/>
        </w:rPr>
        <w:t xml:space="preserve">Chapter </w:t>
      </w:r>
      <w:r w:rsidR="007E4F34" w:rsidRPr="002513B4">
        <w:rPr>
          <w:b/>
          <w:bCs/>
          <w:i/>
          <w:iCs/>
          <w:color w:val="1F497D"/>
        </w:rPr>
        <w:t>13</w:t>
      </w:r>
      <w:r w:rsidR="00C02DC7" w:rsidRPr="002513B4">
        <w:rPr>
          <w:b/>
          <w:bCs/>
          <w:i/>
          <w:iCs/>
          <w:color w:val="1F497D"/>
        </w:rPr>
        <w:t xml:space="preserve">, Public Reporting. </w:t>
      </w:r>
      <w:r w:rsidR="00C02DC7" w:rsidRPr="002513B4">
        <w:t>P</w:t>
      </w:r>
      <w:r w:rsidR="00EE74F9" w:rsidRPr="002513B4">
        <w:t>resents an overview of the public reporting of HHCAHPS Survey results, including the information that is publicly reported.</w:t>
      </w:r>
    </w:p>
    <w:p w14:paraId="068B6630" w14:textId="1EAC390C" w:rsidR="00C02DC7" w:rsidRPr="002513B4" w:rsidRDefault="00090770" w:rsidP="00232B02">
      <w:pPr>
        <w:pStyle w:val="ListBullet"/>
      </w:pPr>
      <w:r w:rsidRPr="002513B4">
        <w:rPr>
          <w:b/>
          <w:bCs/>
          <w:i/>
          <w:iCs/>
          <w:color w:val="1F497D"/>
        </w:rPr>
        <w:t xml:space="preserve">Chapter </w:t>
      </w:r>
      <w:r w:rsidR="007E4F34" w:rsidRPr="002513B4">
        <w:rPr>
          <w:b/>
          <w:bCs/>
          <w:i/>
          <w:iCs/>
          <w:color w:val="1F497D"/>
        </w:rPr>
        <w:t>14</w:t>
      </w:r>
      <w:r w:rsidR="00C02DC7" w:rsidRPr="002513B4">
        <w:rPr>
          <w:b/>
          <w:bCs/>
          <w:i/>
          <w:iCs/>
          <w:color w:val="1F497D"/>
        </w:rPr>
        <w:t xml:space="preserve">, Exceptions Request Process and Discrepancy Notification Reports. </w:t>
      </w:r>
      <w:r w:rsidR="00C02DC7" w:rsidRPr="002513B4">
        <w:t>D</w:t>
      </w:r>
      <w:r w:rsidR="00EE74F9" w:rsidRPr="002513B4">
        <w:t xml:space="preserve">escribes the process to be used to request an exception to the HHCAHPS Survey </w:t>
      </w:r>
      <w:r w:rsidR="0001157A" w:rsidRPr="002513B4">
        <w:t>p</w:t>
      </w:r>
      <w:r w:rsidR="00EE74F9" w:rsidRPr="002513B4">
        <w:t>rotocols, including guidelines for submitting an</w:t>
      </w:r>
      <w:r w:rsidR="0001157A" w:rsidRPr="002513B4">
        <w:t xml:space="preserve"> online</w:t>
      </w:r>
      <w:r w:rsidR="00EE74F9" w:rsidRPr="002513B4">
        <w:t xml:space="preserve"> Exceptions Request Form. This section also covers the process for alerting the HHCAHPS Survey Coordination Team of an unplanned discrepancy in data collection procedures</w:t>
      </w:r>
      <w:r w:rsidR="0001157A" w:rsidRPr="002513B4">
        <w:t>, including guidelines for submitting an online Discrepancy Notification Report</w:t>
      </w:r>
      <w:r w:rsidR="00EE74F9" w:rsidRPr="002513B4">
        <w:t>.</w:t>
      </w:r>
    </w:p>
    <w:p w14:paraId="044CBD8B" w14:textId="12F059D0" w:rsidR="00130F4E" w:rsidRPr="002513B4" w:rsidRDefault="001025B3" w:rsidP="00232B02">
      <w:pPr>
        <w:pStyle w:val="ListBullet"/>
      </w:pPr>
      <w:r w:rsidRPr="002513B4">
        <w:rPr>
          <w:b/>
          <w:bCs/>
          <w:i/>
          <w:iCs/>
          <w:color w:val="1F497D"/>
        </w:rPr>
        <w:t>Appendix A</w:t>
      </w:r>
      <w:r w:rsidRPr="002513B4">
        <w:rPr>
          <w:color w:val="1F497D"/>
        </w:rPr>
        <w:t xml:space="preserve"> </w:t>
      </w:r>
      <w:r w:rsidR="00EE74F9" w:rsidRPr="002513B4">
        <w:t>contain</w:t>
      </w:r>
      <w:r w:rsidRPr="002513B4">
        <w:t>s links for HHCAHPS resources and supplemental materials</w:t>
      </w:r>
      <w:r w:rsidR="00C02DC7" w:rsidRPr="002513B4">
        <w:t xml:space="preserve"> as described throughout the manual.</w:t>
      </w:r>
      <w:r w:rsidR="00BC13DC" w:rsidRPr="002513B4">
        <w:rPr>
          <w:rStyle w:val="FootnoteReference"/>
          <w:rFonts w:ascii="Verdana" w:hAnsi="Verdana"/>
          <w:sz w:val="20"/>
          <w:szCs w:val="16"/>
        </w:rPr>
        <w:footnoteReference w:id="3"/>
      </w:r>
      <w:r w:rsidR="00130F4E" w:rsidRPr="002513B4">
        <w:t xml:space="preserve"> </w:t>
      </w:r>
    </w:p>
    <w:p w14:paraId="5063F46D" w14:textId="77777777" w:rsidR="00EE74F9" w:rsidRPr="002513B4" w:rsidRDefault="00EE74F9" w:rsidP="00EE74F9">
      <w:pPr>
        <w:pStyle w:val="BodyText"/>
        <w:rPr>
          <w:lang w:val="en-US"/>
        </w:rPr>
      </w:pPr>
    </w:p>
    <w:p w14:paraId="25A4DB75" w14:textId="77777777" w:rsidR="00EE74F9" w:rsidRPr="002513B4" w:rsidRDefault="00EE74F9" w:rsidP="00EE74F9">
      <w:pPr>
        <w:pStyle w:val="BodyText"/>
        <w:rPr>
          <w:lang w:val="en-US"/>
        </w:rPr>
        <w:sectPr w:rsidR="00EE74F9" w:rsidRPr="002513B4" w:rsidSect="00C85F17">
          <w:headerReference w:type="even" r:id="rId35"/>
          <w:headerReference w:type="default" r:id="rId36"/>
          <w:footerReference w:type="even" r:id="rId37"/>
          <w:headerReference w:type="first" r:id="rId38"/>
          <w:footerReference w:type="first" r:id="rId39"/>
          <w:pgSz w:w="12240" w:h="15840" w:code="1"/>
          <w:pgMar w:top="1440" w:right="1440" w:bottom="1440" w:left="1440" w:header="720" w:footer="720" w:gutter="0"/>
          <w:pgNumType w:start="1"/>
          <w:cols w:space="720"/>
          <w:titlePg/>
        </w:sectPr>
      </w:pPr>
    </w:p>
    <w:p w14:paraId="4083D386" w14:textId="01827DED" w:rsidR="00EE74F9" w:rsidRPr="002513B4" w:rsidRDefault="00F91C57" w:rsidP="00EE74F9">
      <w:pPr>
        <w:pStyle w:val="Heading2"/>
        <w:rPr>
          <w:lang w:val="en-US"/>
        </w:rPr>
      </w:pPr>
      <w:bookmarkStart w:id="24" w:name="_Toc224984387"/>
      <w:bookmarkStart w:id="25" w:name="_Toc343765378"/>
      <w:bookmarkStart w:id="26" w:name="_Toc217305551"/>
      <w:r w:rsidRPr="002513B4">
        <w:rPr>
          <w:lang w:val="en-US"/>
        </w:rPr>
        <w:lastRenderedPageBreak/>
        <w:t>Chapter</w:t>
      </w:r>
      <w:r w:rsidR="00545FDE" w:rsidRPr="002513B4">
        <w:rPr>
          <w:lang w:val="en-US"/>
        </w:rPr>
        <w:t xml:space="preserve"> 2:</w:t>
      </w:r>
      <w:r w:rsidR="00EE74F9" w:rsidRPr="002513B4">
        <w:rPr>
          <w:lang w:val="en-US"/>
        </w:rPr>
        <w:t xml:space="preserve"> Introduction and Background</w:t>
      </w:r>
      <w:bookmarkEnd w:id="24"/>
      <w:bookmarkEnd w:id="25"/>
      <w:bookmarkEnd w:id="26"/>
    </w:p>
    <w:p w14:paraId="1C56821D" w14:textId="60900B82" w:rsidR="00EE74F9" w:rsidRPr="002513B4" w:rsidRDefault="00545FDE" w:rsidP="00EE74F9">
      <w:pPr>
        <w:pStyle w:val="Heading3"/>
        <w:rPr>
          <w:lang w:val="en-US"/>
        </w:rPr>
      </w:pPr>
      <w:bookmarkStart w:id="27" w:name="_Toc251318116"/>
      <w:bookmarkStart w:id="28" w:name="_Toc407633039"/>
      <w:bookmarkStart w:id="29" w:name="_Toc24713315"/>
      <w:bookmarkStart w:id="30" w:name="_Toc217305552"/>
      <w:r w:rsidRPr="002513B4">
        <w:rPr>
          <w:lang w:val="en-US"/>
        </w:rPr>
        <w:t>2.1</w:t>
      </w:r>
      <w:r w:rsidRPr="002513B4">
        <w:rPr>
          <w:lang w:val="en-US"/>
        </w:rPr>
        <w:tab/>
      </w:r>
      <w:r w:rsidR="00EE74F9" w:rsidRPr="002513B4">
        <w:rPr>
          <w:lang w:val="en-US"/>
        </w:rPr>
        <w:t>Overview of CAHPS Survey</w:t>
      </w:r>
      <w:bookmarkEnd w:id="27"/>
      <w:bookmarkEnd w:id="28"/>
      <w:bookmarkEnd w:id="29"/>
      <w:bookmarkEnd w:id="30"/>
    </w:p>
    <w:p w14:paraId="3DCA627C" w14:textId="3CF0B454" w:rsidR="00EE74F9" w:rsidRPr="002513B4" w:rsidRDefault="00EE74F9" w:rsidP="00EE74F9">
      <w:pPr>
        <w:pStyle w:val="BodyText"/>
        <w:rPr>
          <w:szCs w:val="16"/>
          <w:lang w:val="en-US"/>
        </w:rPr>
      </w:pPr>
      <w:r w:rsidRPr="002513B4">
        <w:rPr>
          <w:szCs w:val="16"/>
          <w:lang w:val="en-US"/>
        </w:rPr>
        <w:t>CMS</w:t>
      </w:r>
      <w:r w:rsidR="005E36BC" w:rsidRPr="002513B4">
        <w:rPr>
          <w:szCs w:val="16"/>
          <w:lang w:val="en-US"/>
        </w:rPr>
        <w:t xml:space="preserve"> </w:t>
      </w:r>
      <w:r w:rsidRPr="002513B4">
        <w:rPr>
          <w:szCs w:val="16"/>
          <w:lang w:val="en-US"/>
        </w:rPr>
        <w:t>has partnered with the AHRQ, another agency within the United States Department of Health and Human Services</w:t>
      </w:r>
      <w:r w:rsidR="005E36BC" w:rsidRPr="002513B4">
        <w:rPr>
          <w:szCs w:val="16"/>
          <w:lang w:val="en-US"/>
        </w:rPr>
        <w:t xml:space="preserve"> (HHS)</w:t>
      </w:r>
      <w:r w:rsidRPr="002513B4">
        <w:rPr>
          <w:szCs w:val="16"/>
          <w:lang w:val="en-US"/>
        </w:rPr>
        <w:t>, to develop surveys measuring patient perspectives of care. Beginning in 1995 as part of the CAHPS initiative, AHRQ and its CAHPS grantees began to develop survey and reporting products focusing on health plans. Since 1995, the initiative has expanded to cover a range of surveys of health care services at multiple levels of the delivery system, including patients receiving care from both ambulatory and institutional settings. The intent of the CAHPS initiative is to provide a standardized survey instrument and data collection methodology for measuring patients’ perspectives on patient care. CAHPS is meant to complement the data that providers collect to support improvements in internal customer services and quality-related activities.</w:t>
      </w:r>
    </w:p>
    <w:p w14:paraId="1831019F" w14:textId="3437266C" w:rsidR="00EE74F9" w:rsidRPr="002513B4" w:rsidRDefault="00545FDE" w:rsidP="00EE74F9">
      <w:pPr>
        <w:pStyle w:val="Heading3"/>
        <w:rPr>
          <w:lang w:val="en-US"/>
        </w:rPr>
      </w:pPr>
      <w:bookmarkStart w:id="31" w:name="_Toc229286023"/>
      <w:bookmarkStart w:id="32" w:name="_Toc251318117"/>
      <w:bookmarkStart w:id="33" w:name="_Toc407633040"/>
      <w:bookmarkStart w:id="34" w:name="_Toc24713316"/>
      <w:bookmarkStart w:id="35" w:name="_Toc217305553"/>
      <w:r w:rsidRPr="002513B4">
        <w:rPr>
          <w:lang w:val="en-US"/>
        </w:rPr>
        <w:t>2.2</w:t>
      </w:r>
      <w:r w:rsidRPr="002513B4">
        <w:rPr>
          <w:lang w:val="en-US"/>
        </w:rPr>
        <w:tab/>
      </w:r>
      <w:r w:rsidR="00EE74F9" w:rsidRPr="002513B4">
        <w:rPr>
          <w:lang w:val="en-US"/>
        </w:rPr>
        <w:t>The HHCAHPS Quality Initiative</w:t>
      </w:r>
      <w:bookmarkEnd w:id="31"/>
      <w:bookmarkEnd w:id="32"/>
      <w:bookmarkEnd w:id="33"/>
      <w:bookmarkEnd w:id="34"/>
      <w:bookmarkEnd w:id="35"/>
    </w:p>
    <w:p w14:paraId="2B17EAAF" w14:textId="0D4D8BB5" w:rsidR="00EE74F9" w:rsidRPr="002513B4" w:rsidRDefault="00EE74F9" w:rsidP="00EE74F9">
      <w:pPr>
        <w:pStyle w:val="BodyText"/>
        <w:rPr>
          <w:szCs w:val="16"/>
          <w:lang w:val="en-US"/>
        </w:rPr>
      </w:pPr>
      <w:r w:rsidRPr="002513B4">
        <w:rPr>
          <w:szCs w:val="16"/>
          <w:lang w:val="en-US"/>
        </w:rPr>
        <w:t xml:space="preserve">In November 2002, the Quality Initiative was launched to ensure quality health care for all Americans through accountability and public disclosure. The initiative aims to (a) empower consumers with </w:t>
      </w:r>
      <w:r w:rsidR="003B4772" w:rsidRPr="002513B4">
        <w:rPr>
          <w:szCs w:val="16"/>
          <w:lang w:val="en-US"/>
        </w:rPr>
        <w:t>quality-of-care</w:t>
      </w:r>
      <w:r w:rsidRPr="002513B4">
        <w:rPr>
          <w:szCs w:val="16"/>
          <w:lang w:val="en-US"/>
        </w:rPr>
        <w:t xml:space="preserve"> information to help them make more informed decisions about their health care, and (b) stimulate and support providers and clinicians to improve the quality of health care. The Quality Initiative was launched nationally in November 2002 for nursing homes (the Nursing Home Quality Initiative) and expanded in 2003 to the nation’s home health care agencies (the Home Health Quality Initiative) and hospitals (the Hospital Quality Initiative).</w:t>
      </w:r>
      <w:r w:rsidRPr="002513B4">
        <w:rPr>
          <w:rStyle w:val="FootnoteReference"/>
          <w:rFonts w:ascii="Verdana" w:hAnsi="Verdana"/>
          <w:sz w:val="20"/>
          <w:szCs w:val="16"/>
          <w:lang w:val="en-US"/>
        </w:rPr>
        <w:footnoteReference w:id="4"/>
      </w:r>
      <w:r w:rsidRPr="002513B4">
        <w:rPr>
          <w:szCs w:val="16"/>
          <w:lang w:val="en-US"/>
        </w:rPr>
        <w:t xml:space="preserve"> Consumers can view the home health measures on Medicare’s </w:t>
      </w:r>
      <w:hyperlink r:id="rId40" w:history="1">
        <w:r w:rsidRPr="002513B4">
          <w:rPr>
            <w:rStyle w:val="Hyperlink"/>
            <w:szCs w:val="16"/>
            <w:lang w:val="en-US"/>
          </w:rPr>
          <w:t>Care Compare website</w:t>
        </w:r>
      </w:hyperlink>
      <w:bookmarkStart w:id="36" w:name="_Hlk53153849"/>
      <w:r w:rsidRPr="002513B4">
        <w:rPr>
          <w:szCs w:val="16"/>
          <w:lang w:val="en-US"/>
        </w:rPr>
        <w:t>.</w:t>
      </w:r>
      <w:bookmarkEnd w:id="36"/>
    </w:p>
    <w:p w14:paraId="4F92FEB6" w14:textId="08BF17F8" w:rsidR="00EE74F9" w:rsidRPr="002513B4" w:rsidRDefault="00545FDE" w:rsidP="00EE74F9">
      <w:pPr>
        <w:pStyle w:val="Heading3"/>
        <w:rPr>
          <w:lang w:val="en-US"/>
        </w:rPr>
      </w:pPr>
      <w:bookmarkStart w:id="37" w:name="_Toc229286024"/>
      <w:bookmarkStart w:id="38" w:name="_Toc251318118"/>
      <w:bookmarkStart w:id="39" w:name="_Toc407633041"/>
      <w:bookmarkStart w:id="40" w:name="_Toc24713317"/>
      <w:bookmarkStart w:id="41" w:name="_Toc217305554"/>
      <w:r w:rsidRPr="002513B4">
        <w:rPr>
          <w:lang w:val="en-US"/>
        </w:rPr>
        <w:t>2.3</w:t>
      </w:r>
      <w:r w:rsidRPr="002513B4">
        <w:rPr>
          <w:lang w:val="en-US"/>
        </w:rPr>
        <w:tab/>
      </w:r>
      <w:r w:rsidR="00EE74F9" w:rsidRPr="002513B4">
        <w:rPr>
          <w:lang w:val="en-US"/>
        </w:rPr>
        <w:t>Development of the HHCAHPS Survey</w:t>
      </w:r>
      <w:bookmarkEnd w:id="37"/>
      <w:bookmarkEnd w:id="38"/>
      <w:bookmarkEnd w:id="39"/>
      <w:bookmarkEnd w:id="40"/>
      <w:bookmarkEnd w:id="41"/>
    </w:p>
    <w:p w14:paraId="55425C5D" w14:textId="37B710A7" w:rsidR="00EE74F9" w:rsidRPr="002513B4" w:rsidRDefault="00EE74F9" w:rsidP="00EE74F9">
      <w:pPr>
        <w:pStyle w:val="BodyText"/>
        <w:rPr>
          <w:lang w:val="en-US"/>
        </w:rPr>
      </w:pPr>
      <w:r w:rsidRPr="002513B4">
        <w:rPr>
          <w:lang w:val="en-US"/>
        </w:rPr>
        <w:t xml:space="preserve">In addition to providing information about clinical measures to consumers and to the public, the Home Health Quality Initiative </w:t>
      </w:r>
      <w:r w:rsidR="001E5C16" w:rsidRPr="002513B4">
        <w:rPr>
          <w:lang w:val="en-US"/>
        </w:rPr>
        <w:t xml:space="preserve">sought </w:t>
      </w:r>
      <w:r w:rsidRPr="002513B4">
        <w:rPr>
          <w:lang w:val="en-US"/>
        </w:rPr>
        <w:t>to provide information to consumers about patients’ perception of the care they receive from Medicare-certified HHAs</w:t>
      </w:r>
      <w:r w:rsidR="005E36BC" w:rsidRPr="002513B4">
        <w:rPr>
          <w:lang w:val="en-US"/>
        </w:rPr>
        <w:t>.</w:t>
      </w:r>
      <w:r w:rsidRPr="002513B4">
        <w:rPr>
          <w:lang w:val="en-US"/>
        </w:rPr>
        <w:t xml:space="preserve"> To that end, CMS partnered with AHRQ to develop a standard instrument, called the CAHPS</w:t>
      </w:r>
      <w:r w:rsidRPr="002513B4">
        <w:rPr>
          <w:vertAlign w:val="superscript"/>
          <w:lang w:val="en-US"/>
        </w:rPr>
        <w:t>®</w:t>
      </w:r>
      <w:r w:rsidRPr="002513B4">
        <w:rPr>
          <w:lang w:val="en-US"/>
        </w:rPr>
        <w:t xml:space="preserve"> Home Health Care Survey, or the HHCAHPS Survey. On September 25, 2006, AHRQ published a </w:t>
      </w:r>
      <w:r w:rsidRPr="002513B4">
        <w:rPr>
          <w:lang w:val="en-US"/>
        </w:rPr>
        <w:lastRenderedPageBreak/>
        <w:t xml:space="preserve">call for measures in the </w:t>
      </w:r>
      <w:r w:rsidRPr="002513B4">
        <w:rPr>
          <w:i/>
          <w:lang w:val="en-US"/>
        </w:rPr>
        <w:t xml:space="preserve">Federal Register </w:t>
      </w:r>
      <w:r w:rsidRPr="002513B4">
        <w:rPr>
          <w:lang w:val="en-US"/>
        </w:rPr>
        <w:t>and initiated an exhaustive review of existing literature in the area. AHRQ developed a draft of the HHCAHPS Survey to measure the experiences of those receiving home health care with the following three goals in mind:</w:t>
      </w:r>
    </w:p>
    <w:p w14:paraId="6DDE4A3A" w14:textId="716BCB1F" w:rsidR="00EE74F9" w:rsidRPr="002513B4" w:rsidRDefault="003C3D1E" w:rsidP="008A02ED">
      <w:pPr>
        <w:pStyle w:val="ListBullet"/>
        <w:spacing w:line="320" w:lineRule="exact"/>
        <w:rPr>
          <w:szCs w:val="20"/>
        </w:rPr>
      </w:pPr>
      <w:r w:rsidRPr="002513B4">
        <w:rPr>
          <w:szCs w:val="20"/>
        </w:rPr>
        <w:t>P</w:t>
      </w:r>
      <w:r w:rsidR="00EE74F9" w:rsidRPr="002513B4">
        <w:rPr>
          <w:szCs w:val="20"/>
        </w:rPr>
        <w:t>roduce comparable data on patients’ perspectives on care that allow objective and meaningful comparisons between HHAs on domains that are important to consumers;</w:t>
      </w:r>
    </w:p>
    <w:p w14:paraId="03D2893C" w14:textId="2765C668" w:rsidR="00EE74F9" w:rsidRPr="002513B4" w:rsidRDefault="003C3D1E" w:rsidP="008A02ED">
      <w:pPr>
        <w:pStyle w:val="ListBullet"/>
        <w:spacing w:line="320" w:lineRule="exact"/>
        <w:rPr>
          <w:szCs w:val="20"/>
        </w:rPr>
      </w:pPr>
      <w:r w:rsidRPr="002513B4">
        <w:rPr>
          <w:szCs w:val="20"/>
        </w:rPr>
        <w:t>C</w:t>
      </w:r>
      <w:r w:rsidR="00EE74F9" w:rsidRPr="002513B4">
        <w:rPr>
          <w:szCs w:val="20"/>
        </w:rPr>
        <w:t>reate incentives for agencies to improve their quality of care through public reporting of survey results; and</w:t>
      </w:r>
    </w:p>
    <w:p w14:paraId="3EE78782" w14:textId="1FE17C7C" w:rsidR="00EE74F9" w:rsidRPr="002513B4" w:rsidRDefault="003C3D1E" w:rsidP="008A02ED">
      <w:pPr>
        <w:pStyle w:val="ListBullet"/>
        <w:spacing w:line="320" w:lineRule="exact"/>
        <w:rPr>
          <w:szCs w:val="20"/>
        </w:rPr>
      </w:pPr>
      <w:r w:rsidRPr="002513B4">
        <w:rPr>
          <w:szCs w:val="20"/>
        </w:rPr>
        <w:t>E</w:t>
      </w:r>
      <w:r w:rsidR="00EE74F9" w:rsidRPr="002513B4">
        <w:rPr>
          <w:szCs w:val="20"/>
        </w:rPr>
        <w:t>nhance public accountability in health care by increasing the transparency of the quality of the care provided in return for the public investment.</w:t>
      </w:r>
    </w:p>
    <w:p w14:paraId="53464F5B" w14:textId="77777777" w:rsidR="00EE74F9" w:rsidRPr="002513B4" w:rsidRDefault="00EE74F9" w:rsidP="00EE74F9">
      <w:pPr>
        <w:pStyle w:val="BodyText"/>
        <w:rPr>
          <w:lang w:val="en-US"/>
        </w:rPr>
      </w:pPr>
      <w:r w:rsidRPr="002513B4">
        <w:rPr>
          <w:lang w:val="en-US"/>
        </w:rPr>
        <w:t>AHRQ conducted several rounds of cognitive testing with a sample of home health patients in 2007. In 2008</w:t>
      </w:r>
      <w:r w:rsidR="003B4772" w:rsidRPr="002513B4">
        <w:rPr>
          <w:lang w:val="en-US"/>
        </w:rPr>
        <w:t>,</w:t>
      </w:r>
      <w:r w:rsidRPr="002513B4">
        <w:rPr>
          <w:lang w:val="en-US"/>
        </w:rPr>
        <w:t xml:space="preserve"> AHRQ conducted a field test with a sample of current and recently discharged patients from 34 HHAs to test the psychometric properties of the survey and to finalize its contents. The final HHCAHPS Survey </w:t>
      </w:r>
      <w:r w:rsidR="003B4772" w:rsidRPr="002513B4">
        <w:rPr>
          <w:lang w:val="en-US"/>
        </w:rPr>
        <w:t>q</w:t>
      </w:r>
      <w:r w:rsidRPr="002513B4">
        <w:rPr>
          <w:lang w:val="en-US"/>
        </w:rPr>
        <w:t>uestionnaire includes the two types of questions contained on all CAHPS instruments—those dealing with reports of specific experiences and those asking for opinions and ratings.</w:t>
      </w:r>
    </w:p>
    <w:p w14:paraId="4B5F3AB0" w14:textId="7D27EDAB" w:rsidR="00EE74F9" w:rsidRPr="002513B4" w:rsidRDefault="00545FDE" w:rsidP="00EE74F9">
      <w:pPr>
        <w:pStyle w:val="Heading3"/>
        <w:rPr>
          <w:lang w:val="en-US"/>
        </w:rPr>
      </w:pPr>
      <w:bookmarkStart w:id="42" w:name="_Toc229286025"/>
      <w:bookmarkStart w:id="43" w:name="_Toc251318119"/>
      <w:bookmarkStart w:id="44" w:name="_Toc407633042"/>
      <w:bookmarkStart w:id="45" w:name="_Toc24713318"/>
      <w:bookmarkStart w:id="46" w:name="_Toc217305555"/>
      <w:bookmarkStart w:id="47" w:name="_Hlk205883673"/>
      <w:r w:rsidRPr="002513B4">
        <w:rPr>
          <w:lang w:val="en-US"/>
        </w:rPr>
        <w:t>2.4</w:t>
      </w:r>
      <w:r w:rsidRPr="002513B4">
        <w:rPr>
          <w:lang w:val="en-US"/>
        </w:rPr>
        <w:tab/>
      </w:r>
      <w:r w:rsidR="00EE74F9" w:rsidRPr="002513B4">
        <w:rPr>
          <w:lang w:val="en-US"/>
        </w:rPr>
        <w:t>Mode Experiment</w:t>
      </w:r>
      <w:bookmarkEnd w:id="42"/>
      <w:bookmarkEnd w:id="43"/>
      <w:bookmarkEnd w:id="44"/>
      <w:bookmarkEnd w:id="45"/>
      <w:bookmarkEnd w:id="46"/>
    </w:p>
    <w:p w14:paraId="1F5B499B" w14:textId="6520AC80" w:rsidR="00DE5ED0" w:rsidRPr="002513B4" w:rsidRDefault="00EE74F9" w:rsidP="00EE74F9">
      <w:pPr>
        <w:pStyle w:val="BodyText"/>
        <w:rPr>
          <w:lang w:val="en-US"/>
        </w:rPr>
      </w:pPr>
      <w:r w:rsidRPr="002513B4">
        <w:rPr>
          <w:lang w:val="en-US"/>
        </w:rPr>
        <w:t xml:space="preserve">The primary focus of the </w:t>
      </w:r>
      <w:r w:rsidR="00E57AE6" w:rsidRPr="002513B4">
        <w:rPr>
          <w:lang w:val="en-US"/>
        </w:rPr>
        <w:t xml:space="preserve">2009 </w:t>
      </w:r>
      <w:r w:rsidRPr="002513B4">
        <w:rPr>
          <w:lang w:val="en-US"/>
        </w:rPr>
        <w:t>HHCAHPS Survey field test was to assess the draft survey instrument. In addition to the field test, CMS conducted a mode experiment in 2009 to test the effect on survey responses of using three data collection modes: mail only, telephone only, and mixed mode (mail with telephone follow-up of nonrespondents). CMS also used data from the mode experiment to determine whether and to what extent characteristics of patients participating in the HHCAHPS Survey</w:t>
      </w:r>
      <w:r w:rsidR="00E57AE6" w:rsidRPr="002513B4">
        <w:rPr>
          <w:lang w:val="en-US"/>
        </w:rPr>
        <w:t xml:space="preserve"> as well as other factors not in the control of home health agencies</w:t>
      </w:r>
      <w:r w:rsidRPr="002513B4">
        <w:rPr>
          <w:lang w:val="en-US"/>
        </w:rPr>
        <w:t xml:space="preserve"> statistically affect survey results. Statistical models were developed to adjust or control for these patient characteristics once the survey results were publicly reported. Data from the mode experiment were also analyzed to detect potential nonresponse bias; the results of these analyses determined whether applicable nonresponse statistical adjustments </w:t>
      </w:r>
      <w:r w:rsidR="00E57AE6" w:rsidRPr="002513B4">
        <w:rPr>
          <w:lang w:val="en-US"/>
        </w:rPr>
        <w:t xml:space="preserve">should </w:t>
      </w:r>
      <w:r w:rsidRPr="002513B4">
        <w:rPr>
          <w:lang w:val="en-US"/>
        </w:rPr>
        <w:t>be made on the HHCAHPS Survey data.</w:t>
      </w:r>
      <w:r w:rsidR="00521447" w:rsidRPr="002513B4">
        <w:rPr>
          <w:lang w:val="en-US"/>
        </w:rPr>
        <w:t xml:space="preserve"> </w:t>
      </w:r>
    </w:p>
    <w:p w14:paraId="0C2386B8" w14:textId="170BBB44" w:rsidR="00EE74F9" w:rsidRPr="002513B4" w:rsidRDefault="00521447" w:rsidP="00EE74F9">
      <w:pPr>
        <w:pStyle w:val="BodyText"/>
        <w:rPr>
          <w:lang w:val="en-US"/>
        </w:rPr>
      </w:pPr>
      <w:r w:rsidRPr="002513B4">
        <w:rPr>
          <w:lang w:val="en-US"/>
        </w:rPr>
        <w:t>In 2022, CMS conducted a</w:t>
      </w:r>
      <w:r w:rsidR="00DE5ED0" w:rsidRPr="002513B4">
        <w:rPr>
          <w:lang w:val="en-US"/>
        </w:rPr>
        <w:t>nother</w:t>
      </w:r>
      <w:r w:rsidRPr="002513B4">
        <w:rPr>
          <w:lang w:val="en-US"/>
        </w:rPr>
        <w:t xml:space="preserve"> mode experiment, to test a shorter survey instrument and the use of a </w:t>
      </w:r>
      <w:r w:rsidR="00DE5ED0" w:rsidRPr="002513B4">
        <w:rPr>
          <w:lang w:val="en-US"/>
        </w:rPr>
        <w:t>w</w:t>
      </w:r>
      <w:r w:rsidRPr="002513B4">
        <w:rPr>
          <w:lang w:val="en-US"/>
        </w:rPr>
        <w:t>eb</w:t>
      </w:r>
      <w:r w:rsidR="00DE5ED0" w:rsidRPr="002513B4">
        <w:rPr>
          <w:lang w:val="en-US"/>
        </w:rPr>
        <w:t>-based</w:t>
      </w:r>
      <w:r w:rsidRPr="002513B4">
        <w:rPr>
          <w:lang w:val="en-US"/>
        </w:rPr>
        <w:t xml:space="preserve"> mode</w:t>
      </w:r>
      <w:r w:rsidR="00DE5ED0" w:rsidRPr="002513B4">
        <w:rPr>
          <w:lang w:val="en-US"/>
        </w:rPr>
        <w:t xml:space="preserve"> of survey administration</w:t>
      </w:r>
      <w:r w:rsidRPr="002513B4">
        <w:rPr>
          <w:lang w:val="en-US"/>
        </w:rPr>
        <w:t xml:space="preserve">. </w:t>
      </w:r>
      <w:r w:rsidR="00E57AE6" w:rsidRPr="002513B4">
        <w:rPr>
          <w:lang w:val="en-US"/>
        </w:rPr>
        <w:t xml:space="preserve">Similar analyses as were performed in 2009 assessing patient characteristics and other factors on home health agency scores were performed again, as well as nonresponse bias analyses. Findings in 2022 compared to 2009 were generally similar except that diagnoses for dementia and schizophrenia were no longer found to significantly affect HHCAHPS scores and were therefore dropped. Mode effects were identified with this mode experiment and are available on the HHCAHPS website. </w:t>
      </w:r>
    </w:p>
    <w:p w14:paraId="49F3F84A" w14:textId="381BD1AE" w:rsidR="00EE74F9" w:rsidRPr="00EB0E16" w:rsidRDefault="00545FDE" w:rsidP="00EB0E16">
      <w:pPr>
        <w:pStyle w:val="Heading3"/>
      </w:pPr>
      <w:bookmarkStart w:id="48" w:name="_Toc229286026"/>
      <w:bookmarkStart w:id="49" w:name="_Toc251318120"/>
      <w:bookmarkStart w:id="50" w:name="_Toc407633043"/>
      <w:bookmarkStart w:id="51" w:name="_Toc24713319"/>
      <w:bookmarkStart w:id="52" w:name="_Toc217305556"/>
      <w:bookmarkEnd w:id="47"/>
      <w:r w:rsidRPr="00EB0E16">
        <w:lastRenderedPageBreak/>
        <w:t>2.5</w:t>
      </w:r>
      <w:r w:rsidRPr="00EB0E16">
        <w:tab/>
      </w:r>
      <w:bookmarkEnd w:id="48"/>
      <w:bookmarkEnd w:id="49"/>
      <w:bookmarkEnd w:id="50"/>
      <w:bookmarkEnd w:id="51"/>
      <w:r w:rsidR="00A61052" w:rsidRPr="00EB0E16">
        <w:t>Endorsement of HHCAHPS Survey Measures by CMS’</w:t>
      </w:r>
      <w:r w:rsidR="00BE28C6" w:rsidRPr="00EB0E16">
        <w:t>s</w:t>
      </w:r>
      <w:r w:rsidR="00A61052" w:rsidRPr="00EB0E16">
        <w:t xml:space="preserve"> Consensus-Based Entities</w:t>
      </w:r>
      <w:bookmarkEnd w:id="52"/>
    </w:p>
    <w:p w14:paraId="221C5051" w14:textId="66481723" w:rsidR="00A61052" w:rsidRPr="002513B4" w:rsidRDefault="00EE74F9" w:rsidP="00EE74F9">
      <w:pPr>
        <w:pStyle w:val="BodyText"/>
        <w:rPr>
          <w:lang w:val="en-US"/>
        </w:rPr>
      </w:pPr>
      <w:r w:rsidRPr="002513B4">
        <w:rPr>
          <w:lang w:val="en-US"/>
        </w:rPr>
        <w:t>CMS submitted the final HHCAHPS Survey instrument to the National Quality Forum (NQF) for review and endorsement in October 2008. The HHCAHPS Survey was endorsed by NQF on March 31, 2009, and re</w:t>
      </w:r>
      <w:r w:rsidR="005E36BC" w:rsidRPr="002513B4">
        <w:rPr>
          <w:lang w:val="en-US"/>
        </w:rPr>
        <w:t>-</w:t>
      </w:r>
      <w:r w:rsidRPr="002513B4">
        <w:rPr>
          <w:lang w:val="en-US"/>
        </w:rPr>
        <w:t xml:space="preserve">endorsed on March 4, 2015. </w:t>
      </w:r>
    </w:p>
    <w:p w14:paraId="2F89189C" w14:textId="38510F05" w:rsidR="00EE74F9" w:rsidRPr="002513B4" w:rsidRDefault="00A61052" w:rsidP="00EE74F9">
      <w:pPr>
        <w:pStyle w:val="BodyText"/>
        <w:rPr>
          <w:color w:val="000000"/>
          <w:lang w:val="en-US"/>
        </w:rPr>
      </w:pPr>
      <w:r w:rsidRPr="002513B4">
        <w:rPr>
          <w:lang w:val="en-US"/>
        </w:rPr>
        <w:t xml:space="preserve">In 2025, </w:t>
      </w:r>
      <w:r w:rsidR="008309E6" w:rsidRPr="002513B4">
        <w:rPr>
          <w:lang w:val="en-US"/>
        </w:rPr>
        <w:t xml:space="preserve">CMS applied for endorsement from </w:t>
      </w:r>
      <w:r w:rsidRPr="002513B4">
        <w:rPr>
          <w:lang w:val="en-US"/>
        </w:rPr>
        <w:t>the Consensus Standards Approval Committee of CMS’</w:t>
      </w:r>
      <w:r w:rsidR="000A2EA6" w:rsidRPr="002513B4">
        <w:rPr>
          <w:lang w:val="en-US"/>
        </w:rPr>
        <w:t>s</w:t>
      </w:r>
      <w:r w:rsidRPr="002513B4">
        <w:rPr>
          <w:lang w:val="en-US"/>
        </w:rPr>
        <w:t xml:space="preserve"> current consensus-based entity (CBE), the Partnership for Quality Management,</w:t>
      </w:r>
      <w:r w:rsidR="008309E6" w:rsidRPr="002513B4">
        <w:rPr>
          <w:lang w:val="en-US"/>
        </w:rPr>
        <w:t xml:space="preserve"> for the modified HHCAHPS Survey publicly reported measures that reflect the revised survey instrument. The CBE</w:t>
      </w:r>
      <w:r w:rsidRPr="002513B4">
        <w:rPr>
          <w:lang w:val="en-US"/>
        </w:rPr>
        <w:t xml:space="preserve"> endorsed the </w:t>
      </w:r>
      <w:r w:rsidR="008309E6" w:rsidRPr="002513B4">
        <w:rPr>
          <w:lang w:val="en-US"/>
        </w:rPr>
        <w:t>five</w:t>
      </w:r>
      <w:r w:rsidRPr="002513B4">
        <w:rPr>
          <w:lang w:val="en-US"/>
        </w:rPr>
        <w:t xml:space="preserve"> modified HHCAHPS Survey measures</w:t>
      </w:r>
      <w:r w:rsidR="00EE74F9" w:rsidRPr="002513B4">
        <w:rPr>
          <w:lang w:val="en-US"/>
        </w:rPr>
        <w:t xml:space="preserve"> in </w:t>
      </w:r>
      <w:r w:rsidR="005D53A9" w:rsidRPr="002513B4">
        <w:rPr>
          <w:lang w:val="en-US"/>
        </w:rPr>
        <w:t>August 2025</w:t>
      </w:r>
      <w:r w:rsidR="00EE74F9" w:rsidRPr="002513B4">
        <w:rPr>
          <w:color w:val="000000"/>
          <w:lang w:val="en-US"/>
        </w:rPr>
        <w:t>.</w:t>
      </w:r>
      <w:r w:rsidRPr="002513B4">
        <w:rPr>
          <w:color w:val="000000"/>
          <w:lang w:val="en-US"/>
        </w:rPr>
        <w:t xml:space="preserve"> The modified HHCAHPS Survey measures are discussed in more detail in </w:t>
      </w:r>
      <w:r w:rsidRPr="002513B4">
        <w:rPr>
          <w:b/>
          <w:bCs/>
          <w:i/>
          <w:iCs/>
          <w:color w:val="000000"/>
          <w:lang w:val="en-US"/>
        </w:rPr>
        <w:t>Chapter 13</w:t>
      </w:r>
      <w:r w:rsidRPr="002513B4">
        <w:rPr>
          <w:color w:val="000000"/>
          <w:lang w:val="en-US"/>
        </w:rPr>
        <w:t>.</w:t>
      </w:r>
    </w:p>
    <w:p w14:paraId="3981D776" w14:textId="58E66DEB" w:rsidR="00EE74F9" w:rsidRPr="002513B4" w:rsidRDefault="00545FDE" w:rsidP="00EE74F9">
      <w:pPr>
        <w:pStyle w:val="Heading3"/>
        <w:rPr>
          <w:lang w:val="en-US"/>
        </w:rPr>
      </w:pPr>
      <w:bookmarkStart w:id="53" w:name="_Toc229286027"/>
      <w:bookmarkStart w:id="54" w:name="_Toc251318121"/>
      <w:bookmarkStart w:id="55" w:name="_Toc407633044"/>
      <w:bookmarkStart w:id="56" w:name="_Toc24713320"/>
      <w:bookmarkStart w:id="57" w:name="_Toc217305557"/>
      <w:r w:rsidRPr="002513B4">
        <w:rPr>
          <w:lang w:val="en-US"/>
        </w:rPr>
        <w:t>2.</w:t>
      </w:r>
      <w:r w:rsidR="00FA38B1" w:rsidRPr="002513B4">
        <w:rPr>
          <w:lang w:val="en-US"/>
        </w:rPr>
        <w:t>6</w:t>
      </w:r>
      <w:r w:rsidRPr="002513B4">
        <w:rPr>
          <w:lang w:val="en-US"/>
        </w:rPr>
        <w:tab/>
      </w:r>
      <w:r w:rsidR="00EE74F9" w:rsidRPr="002513B4">
        <w:rPr>
          <w:lang w:val="en-US"/>
        </w:rPr>
        <w:t>Office of Management and Budget and Public Comment Process</w:t>
      </w:r>
      <w:bookmarkEnd w:id="53"/>
      <w:bookmarkEnd w:id="54"/>
      <w:bookmarkEnd w:id="55"/>
      <w:bookmarkEnd w:id="56"/>
      <w:bookmarkEnd w:id="57"/>
    </w:p>
    <w:p w14:paraId="19E92B53" w14:textId="525BBE45" w:rsidR="00A30A7A" w:rsidRPr="002513B4" w:rsidRDefault="00EE74F9" w:rsidP="00EE74F9">
      <w:pPr>
        <w:pStyle w:val="BodyText"/>
        <w:rPr>
          <w:lang w:val="en-US"/>
        </w:rPr>
      </w:pPr>
      <w:r w:rsidRPr="002513B4">
        <w:rPr>
          <w:lang w:val="en-US"/>
        </w:rPr>
        <w:t xml:space="preserve">CMS received approval of the HHCAHPS Survey from the United States Office of Management and Budget (OMB) in July 2009. </w:t>
      </w:r>
      <w:r w:rsidR="00685382" w:rsidRPr="002513B4">
        <w:rPr>
          <w:lang w:val="en-US"/>
        </w:rPr>
        <w:t xml:space="preserve">The current </w:t>
      </w:r>
      <w:r w:rsidRPr="002513B4">
        <w:rPr>
          <w:lang w:val="en-US"/>
        </w:rPr>
        <w:t>OMB renew</w:t>
      </w:r>
      <w:r w:rsidR="00685382" w:rsidRPr="002513B4">
        <w:rPr>
          <w:lang w:val="en-US"/>
        </w:rPr>
        <w:t>al</w:t>
      </w:r>
      <w:r w:rsidRPr="002513B4">
        <w:rPr>
          <w:lang w:val="en-US"/>
        </w:rPr>
        <w:t xml:space="preserve"> approval of </w:t>
      </w:r>
      <w:r w:rsidR="00BB3FE6" w:rsidRPr="002513B4">
        <w:rPr>
          <w:lang w:val="en-US"/>
        </w:rPr>
        <w:t xml:space="preserve">the existing </w:t>
      </w:r>
      <w:r w:rsidRPr="002513B4">
        <w:rPr>
          <w:lang w:val="en-US"/>
        </w:rPr>
        <w:t>HHCAHPS</w:t>
      </w:r>
      <w:r w:rsidR="00685382" w:rsidRPr="002513B4">
        <w:rPr>
          <w:lang w:val="en-US"/>
        </w:rPr>
        <w:t xml:space="preserve"> </w:t>
      </w:r>
      <w:r w:rsidR="00BB3FE6" w:rsidRPr="002513B4">
        <w:rPr>
          <w:lang w:val="en-US"/>
        </w:rPr>
        <w:t xml:space="preserve">Survey (34 items) </w:t>
      </w:r>
      <w:r w:rsidR="00685382" w:rsidRPr="002513B4">
        <w:rPr>
          <w:lang w:val="en-US"/>
        </w:rPr>
        <w:t>was granted</w:t>
      </w:r>
      <w:r w:rsidRPr="002513B4">
        <w:rPr>
          <w:lang w:val="en-US"/>
        </w:rPr>
        <w:t xml:space="preserve"> on </w:t>
      </w:r>
      <w:r w:rsidR="00D8599B" w:rsidRPr="002513B4">
        <w:rPr>
          <w:lang w:val="en-US"/>
        </w:rPr>
        <w:t>July 13, 2023</w:t>
      </w:r>
      <w:r w:rsidRPr="002513B4">
        <w:rPr>
          <w:lang w:val="en-US"/>
        </w:rPr>
        <w:t>, under OMB Control Number 0938-1066.</w:t>
      </w:r>
      <w:r w:rsidR="00E3334F" w:rsidRPr="002513B4">
        <w:rPr>
          <w:lang w:val="en-US"/>
        </w:rPr>
        <w:t xml:space="preserve"> The expiration date for this OMB number is July 31, 2026.</w:t>
      </w:r>
      <w:r w:rsidR="00A30A7A" w:rsidRPr="002513B4">
        <w:rPr>
          <w:lang w:val="en-US"/>
        </w:rPr>
        <w:t xml:space="preserve"> </w:t>
      </w:r>
    </w:p>
    <w:p w14:paraId="4533ABF3" w14:textId="712C3067" w:rsidR="00EE74F9" w:rsidRPr="002513B4" w:rsidRDefault="00A30A7A" w:rsidP="00EE74F9">
      <w:pPr>
        <w:pStyle w:val="BodyText"/>
        <w:rPr>
          <w:lang w:val="en-US"/>
        </w:rPr>
      </w:pPr>
      <w:r w:rsidRPr="002513B4">
        <w:rPr>
          <w:lang w:val="en-US"/>
        </w:rPr>
        <w:t>CMS submitted an OMB package in 2025 for approval to administer the revised HHCAHPS Survey instrument</w:t>
      </w:r>
      <w:r w:rsidR="00BB3FE6" w:rsidRPr="002513B4">
        <w:rPr>
          <w:lang w:val="en-US"/>
        </w:rPr>
        <w:t xml:space="preserve"> (25 items)</w:t>
      </w:r>
      <w:r w:rsidRPr="002513B4">
        <w:rPr>
          <w:lang w:val="en-US"/>
        </w:rPr>
        <w:t xml:space="preserve">. Updates on OMB approval will be posted as announcements on the HHCAHPS website. </w:t>
      </w:r>
    </w:p>
    <w:p w14:paraId="6A585A33" w14:textId="5F9D66F2" w:rsidR="00EE74F9" w:rsidRPr="002513B4" w:rsidRDefault="00545FDE" w:rsidP="00EE74F9">
      <w:pPr>
        <w:pStyle w:val="Heading3"/>
        <w:rPr>
          <w:lang w:val="en-US"/>
        </w:rPr>
      </w:pPr>
      <w:bookmarkStart w:id="58" w:name="_Toc229286028"/>
      <w:bookmarkStart w:id="59" w:name="_Toc251318122"/>
      <w:bookmarkStart w:id="60" w:name="_Toc407633045"/>
      <w:bookmarkStart w:id="61" w:name="_Toc24713321"/>
      <w:bookmarkStart w:id="62" w:name="_Toc217305558"/>
      <w:r w:rsidRPr="002513B4">
        <w:rPr>
          <w:lang w:val="en-US"/>
        </w:rPr>
        <w:t>2.</w:t>
      </w:r>
      <w:r w:rsidR="00FA38B1" w:rsidRPr="002513B4">
        <w:rPr>
          <w:lang w:val="en-US"/>
        </w:rPr>
        <w:t>7</w:t>
      </w:r>
      <w:r w:rsidRPr="002513B4">
        <w:rPr>
          <w:lang w:val="en-US"/>
        </w:rPr>
        <w:tab/>
      </w:r>
      <w:r w:rsidR="00EE74F9" w:rsidRPr="002513B4">
        <w:rPr>
          <w:lang w:val="en-US"/>
        </w:rPr>
        <w:t>HHCAHPS Survey Instrument</w:t>
      </w:r>
      <w:bookmarkEnd w:id="58"/>
      <w:bookmarkEnd w:id="59"/>
      <w:bookmarkEnd w:id="60"/>
      <w:bookmarkEnd w:id="61"/>
      <w:bookmarkEnd w:id="62"/>
    </w:p>
    <w:p w14:paraId="5A8936F5" w14:textId="7E1DB482" w:rsidR="00EE74F9" w:rsidRPr="002513B4" w:rsidRDefault="007378D3" w:rsidP="00EE74F9">
      <w:pPr>
        <w:pStyle w:val="BodyText"/>
        <w:rPr>
          <w:lang w:val="en-US"/>
        </w:rPr>
      </w:pPr>
      <w:r w:rsidRPr="002513B4">
        <w:rPr>
          <w:lang w:val="en-US"/>
        </w:rPr>
        <w:t>Effective with the April 2026 sample month, t</w:t>
      </w:r>
      <w:r w:rsidR="00EE74F9" w:rsidRPr="002513B4">
        <w:rPr>
          <w:lang w:val="en-US"/>
        </w:rPr>
        <w:t xml:space="preserve">he HHCAHPS Survey instrument contains </w:t>
      </w:r>
      <w:r w:rsidR="005D53A9" w:rsidRPr="002513B4">
        <w:rPr>
          <w:lang w:val="en-US"/>
        </w:rPr>
        <w:t>25</w:t>
      </w:r>
      <w:r w:rsidR="00EE74F9" w:rsidRPr="002513B4">
        <w:rPr>
          <w:lang w:val="en-US"/>
        </w:rPr>
        <w:t xml:space="preserve"> items that cover topics such as access to care, communications, and interactions with agency staff. There are two global items: one asks the patient to rate the care provided by the HHA</w:t>
      </w:r>
      <w:r w:rsidR="005D53A9" w:rsidRPr="002513B4">
        <w:rPr>
          <w:lang w:val="en-US"/>
        </w:rPr>
        <w:t xml:space="preserve"> staff</w:t>
      </w:r>
      <w:r w:rsidR="00EE74F9" w:rsidRPr="002513B4">
        <w:rPr>
          <w:lang w:val="en-US"/>
        </w:rPr>
        <w:t>, and the second asks the patient about his or her willingness to recommend the HHA to family and friends. The survey also contains items that ask for self-reported health status and basic demographic information (race/ethnicity, education attainment level, language spoken in the home, etc.).</w:t>
      </w:r>
    </w:p>
    <w:p w14:paraId="5D0E4C70" w14:textId="0BDD6181" w:rsidR="00EE74F9" w:rsidRPr="002513B4" w:rsidRDefault="00EE74F9" w:rsidP="00EE74F9">
      <w:pPr>
        <w:pStyle w:val="BodyText"/>
        <w:rPr>
          <w:lang w:val="en-US"/>
        </w:rPr>
      </w:pPr>
      <w:r w:rsidRPr="002513B4">
        <w:rPr>
          <w:lang w:val="en-US"/>
        </w:rPr>
        <w:t>The HHCAHPS Survey is currently available in English, Spanish, Simplified and Traditional Chinese, Russian, Vietnamese, and Armenian</w:t>
      </w:r>
      <w:r w:rsidR="0018237E" w:rsidRPr="002513B4">
        <w:rPr>
          <w:lang w:val="en-US"/>
        </w:rPr>
        <w:t xml:space="preserve"> on the </w:t>
      </w:r>
      <w:hyperlink r:id="rId41" w:history="1">
        <w:r w:rsidR="0018237E" w:rsidRPr="002513B4">
          <w:rPr>
            <w:rStyle w:val="Hyperlink"/>
            <w:lang w:val="en-US"/>
          </w:rPr>
          <w:t>Survey and Protocols web</w:t>
        </w:r>
        <w:r w:rsidR="00DB4C5C" w:rsidRPr="002513B4">
          <w:rPr>
            <w:rStyle w:val="Hyperlink"/>
            <w:lang w:val="en-US"/>
          </w:rPr>
          <w:t xml:space="preserve"> </w:t>
        </w:r>
        <w:r w:rsidR="0018237E" w:rsidRPr="002513B4">
          <w:rPr>
            <w:rStyle w:val="Hyperlink"/>
            <w:lang w:val="en-US"/>
          </w:rPr>
          <w:t>page</w:t>
        </w:r>
      </w:hyperlink>
      <w:r w:rsidR="00694441" w:rsidRPr="002513B4">
        <w:rPr>
          <w:lang w:val="en-US"/>
        </w:rPr>
        <w:t> </w:t>
      </w:r>
      <w:r w:rsidR="00694441" w:rsidRPr="002513B4">
        <w:rPr>
          <w:noProof/>
          <w:lang w:val="en-US"/>
        </w:rPr>
        <w:drawing>
          <wp:inline distT="0" distB="0" distL="0" distR="0" wp14:anchorId="58C50467" wp14:editId="1946CD98">
            <wp:extent cx="95250" cy="95250"/>
            <wp:effectExtent l="0" t="0" r="0" b="0"/>
            <wp:docPr id="1572059430" name="Graphic 1572059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18237E" w:rsidRPr="002513B4">
        <w:rPr>
          <w:lang w:val="en-US"/>
        </w:rPr>
        <w:t xml:space="preserve"> of the HHCAHPS website</w:t>
      </w:r>
      <w:r w:rsidRPr="002513B4">
        <w:rPr>
          <w:lang w:val="en-US"/>
        </w:rPr>
        <w:t xml:space="preserve">. A version is provided for both mail and telephone survey administration in each language except for Chinese and Armenian. The Chinese-language and Armenian-language versions of the instrument can only be administered by mail. HHAs and their survey vendors are not permitted to translate the HHCAHPS Survey into any other languages. However, CMS will provide additional translations of the survey over time. Please check the </w:t>
      </w:r>
      <w:hyperlink r:id="rId42" w:history="1">
        <w:r w:rsidR="00694441" w:rsidRPr="002513B4">
          <w:rPr>
            <w:rStyle w:val="Hyperlink"/>
            <w:lang w:val="en-US"/>
          </w:rPr>
          <w:t>HHCAHPS Survey website</w:t>
        </w:r>
      </w:hyperlink>
      <w:r w:rsidR="00694441" w:rsidRPr="002513B4">
        <w:rPr>
          <w:lang w:val="en-US"/>
        </w:rPr>
        <w:t> </w:t>
      </w:r>
      <w:r w:rsidR="00694441" w:rsidRPr="002513B4">
        <w:rPr>
          <w:noProof/>
          <w:lang w:val="en-US"/>
        </w:rPr>
        <w:drawing>
          <wp:inline distT="0" distB="0" distL="0" distR="0" wp14:anchorId="33F2AF89" wp14:editId="0044E255">
            <wp:extent cx="95250" cy="95250"/>
            <wp:effectExtent l="0" t="0" r="0" b="0"/>
            <wp:docPr id="871759862" name="Graphic 871759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lang w:val="en-US"/>
        </w:rPr>
        <w:t xml:space="preserve"> for announcements about additional translations.</w:t>
      </w:r>
    </w:p>
    <w:p w14:paraId="08975310" w14:textId="2BCFC7A2" w:rsidR="00EE74F9" w:rsidRPr="002513B4" w:rsidRDefault="00545FDE" w:rsidP="00EE74F9">
      <w:pPr>
        <w:pStyle w:val="Heading3"/>
        <w:rPr>
          <w:lang w:val="en-US"/>
        </w:rPr>
      </w:pPr>
      <w:bookmarkStart w:id="63" w:name="_Toc229286029"/>
      <w:bookmarkStart w:id="64" w:name="_Toc251318123"/>
      <w:bookmarkStart w:id="65" w:name="_Toc407633046"/>
      <w:bookmarkStart w:id="66" w:name="_Toc24713322"/>
      <w:bookmarkStart w:id="67" w:name="_Toc217305559"/>
      <w:r w:rsidRPr="002513B4">
        <w:rPr>
          <w:lang w:val="en-US"/>
        </w:rPr>
        <w:lastRenderedPageBreak/>
        <w:t>2.</w:t>
      </w:r>
      <w:r w:rsidR="00FA38B1" w:rsidRPr="002513B4">
        <w:rPr>
          <w:lang w:val="en-US"/>
        </w:rPr>
        <w:t>8</w:t>
      </w:r>
      <w:r w:rsidRPr="002513B4">
        <w:rPr>
          <w:lang w:val="en-US"/>
        </w:rPr>
        <w:tab/>
      </w:r>
      <w:r w:rsidR="00EE74F9" w:rsidRPr="002513B4">
        <w:rPr>
          <w:lang w:val="en-US"/>
        </w:rPr>
        <w:t>HHCAHPS Survey Data Collection and Public Reporting</w:t>
      </w:r>
      <w:bookmarkEnd w:id="63"/>
      <w:bookmarkEnd w:id="64"/>
      <w:bookmarkEnd w:id="65"/>
      <w:bookmarkEnd w:id="66"/>
      <w:bookmarkEnd w:id="67"/>
    </w:p>
    <w:p w14:paraId="305A2F48" w14:textId="0E228E90" w:rsidR="00EE74F9" w:rsidRPr="002513B4" w:rsidRDefault="00EE74F9" w:rsidP="00EE74F9">
      <w:pPr>
        <w:pStyle w:val="BodyText"/>
        <w:rPr>
          <w:lang w:val="en-US"/>
        </w:rPr>
      </w:pPr>
      <w:r w:rsidRPr="002513B4">
        <w:rPr>
          <w:lang w:val="en-US"/>
        </w:rPr>
        <w:t xml:space="preserve">The HHCAHPS Survey is being conducted by multiple survey vendors under contract with Medicare-certified HHAs. Survey vendors interested in administering the HHCAHPS Survey must complete and </w:t>
      </w:r>
      <w:proofErr w:type="gramStart"/>
      <w:r w:rsidRPr="002513B4">
        <w:rPr>
          <w:lang w:val="en-US"/>
        </w:rPr>
        <w:t>submit an application</w:t>
      </w:r>
      <w:proofErr w:type="gramEnd"/>
      <w:r w:rsidRPr="002513B4">
        <w:rPr>
          <w:lang w:val="en-US"/>
        </w:rPr>
        <w:t xml:space="preserve">, </w:t>
      </w:r>
      <w:r w:rsidR="00D8599B" w:rsidRPr="002513B4">
        <w:rPr>
          <w:lang w:val="en-US"/>
        </w:rPr>
        <w:t xml:space="preserve">complete </w:t>
      </w:r>
      <w:r w:rsidR="008240CD" w:rsidRPr="002513B4">
        <w:rPr>
          <w:lang w:val="en-US"/>
        </w:rPr>
        <w:t xml:space="preserve">the self-paced </w:t>
      </w:r>
      <w:r w:rsidRPr="002513B4">
        <w:rPr>
          <w:lang w:val="en-US"/>
        </w:rPr>
        <w:t xml:space="preserve">HHCAHPS Survey </w:t>
      </w:r>
      <w:r w:rsidR="00E3334F" w:rsidRPr="002513B4">
        <w:rPr>
          <w:lang w:val="en-US"/>
        </w:rPr>
        <w:t xml:space="preserve">Introductory </w:t>
      </w:r>
      <w:r w:rsidRPr="002513B4">
        <w:rPr>
          <w:lang w:val="en-US"/>
        </w:rPr>
        <w:t xml:space="preserve">training, complete a Training Certification Form, </w:t>
      </w:r>
      <w:r w:rsidR="00E75583" w:rsidRPr="002513B4">
        <w:rPr>
          <w:lang w:val="en-US"/>
        </w:rPr>
        <w:t xml:space="preserve">complete an electronic consent form, </w:t>
      </w:r>
      <w:r w:rsidRPr="002513B4">
        <w:rPr>
          <w:lang w:val="en-US"/>
        </w:rPr>
        <w:t xml:space="preserve">and participate in </w:t>
      </w:r>
      <w:r w:rsidR="00D8599B" w:rsidRPr="002513B4">
        <w:rPr>
          <w:lang w:val="en-US"/>
        </w:rPr>
        <w:t>annual U</w:t>
      </w:r>
      <w:r w:rsidRPr="002513B4">
        <w:rPr>
          <w:lang w:val="en-US"/>
        </w:rPr>
        <w:t xml:space="preserve">pdate </w:t>
      </w:r>
      <w:r w:rsidR="00D8599B" w:rsidRPr="002513B4">
        <w:rPr>
          <w:lang w:val="en-US"/>
        </w:rPr>
        <w:t>T</w:t>
      </w:r>
      <w:r w:rsidRPr="002513B4">
        <w:rPr>
          <w:lang w:val="en-US"/>
        </w:rPr>
        <w:t>rainings sponsored by CMS. Survey vendors cannot collect and submit data to CMS until they receive approval to conduct the survey.</w:t>
      </w:r>
    </w:p>
    <w:p w14:paraId="0ED4A5EA" w14:textId="77777777" w:rsidR="00EE74F9" w:rsidRPr="002513B4" w:rsidRDefault="00EE74F9" w:rsidP="00EE74F9">
      <w:pPr>
        <w:pStyle w:val="BodyText"/>
        <w:rPr>
          <w:lang w:val="en-US"/>
        </w:rPr>
      </w:pPr>
      <w:r w:rsidRPr="002513B4">
        <w:rPr>
          <w:lang w:val="en-US"/>
        </w:rPr>
        <w:t xml:space="preserve">Starting in October 2009, HHAs were invited to participate voluntarily in the HHCAHPS Survey. The Final Rule for the Home Health Prospective Payment System (HH PPS) Rate Update for Calendar Year 2010 published in the </w:t>
      </w:r>
      <w:r w:rsidRPr="002513B4">
        <w:rPr>
          <w:i/>
          <w:lang w:val="en-US"/>
        </w:rPr>
        <w:t>Federal Register</w:t>
      </w:r>
      <w:r w:rsidRPr="002513B4">
        <w:rPr>
          <w:lang w:val="en-US"/>
        </w:rPr>
        <w:t xml:space="preserve"> on November 10, 2009 (</w:t>
      </w:r>
      <w:r w:rsidRPr="002513B4">
        <w:rPr>
          <w:i/>
          <w:lang w:val="en-US"/>
        </w:rPr>
        <w:t>Federal Register</w:t>
      </w:r>
      <w:r w:rsidRPr="002513B4">
        <w:rPr>
          <w:lang w:val="en-US"/>
        </w:rPr>
        <w:t>/</w:t>
      </w:r>
      <w:r w:rsidRPr="002513B4">
        <w:rPr>
          <w:i/>
          <w:lang w:val="en-US"/>
        </w:rPr>
        <w:t>Vol. 74, No. 216/Tuesday November 10, 2009/ Pages 58099–58104</w:t>
      </w:r>
      <w:r w:rsidRPr="002513B4">
        <w:rPr>
          <w:lang w:val="en-US"/>
        </w:rPr>
        <w:t>) required all Medicare-certified HHAs that served 60 or more patients between April 1, 2009, and March</w:t>
      </w:r>
      <w:r w:rsidR="003A3C10" w:rsidRPr="002513B4">
        <w:rPr>
          <w:lang w:val="en-US"/>
        </w:rPr>
        <w:t> </w:t>
      </w:r>
      <w:r w:rsidRPr="002513B4">
        <w:rPr>
          <w:lang w:val="en-US"/>
        </w:rPr>
        <w:t>31, 2010, who met survey eligibility criteria to conduct a dry run of the HHCAHPS Survey for at least 1 month in the third calendar year (CY) quarter (July, August, and September) in 2010, with ongoing monthly participation starting in October 2010. To receive the annual payment update (APU)</w:t>
      </w:r>
      <w:r w:rsidR="00E27D85" w:rsidRPr="002513B4">
        <w:rPr>
          <w:rStyle w:val="FootnoteReference"/>
          <w:rFonts w:ascii="Verdana" w:hAnsi="Verdana"/>
          <w:sz w:val="20"/>
          <w:lang w:val="en-US"/>
        </w:rPr>
        <w:footnoteReference w:id="5"/>
      </w:r>
      <w:r w:rsidRPr="002513B4">
        <w:rPr>
          <w:lang w:val="en-US"/>
        </w:rPr>
        <w:t xml:space="preserve"> each year, Medicare-certified HHAs that are not eligible for an exemption must administer the HHCAHPS Survey on an ongoing (monthly) basis beginning with the April sample month.</w:t>
      </w:r>
    </w:p>
    <w:p w14:paraId="0EEDC3CC" w14:textId="099E62B5" w:rsidR="00EE74F9" w:rsidRPr="002513B4" w:rsidRDefault="00EE74F9" w:rsidP="00EE74F9">
      <w:pPr>
        <w:pStyle w:val="BodyText"/>
        <w:rPr>
          <w:lang w:val="en-US"/>
        </w:rPr>
      </w:pPr>
      <w:r w:rsidRPr="002513B4">
        <w:rPr>
          <w:lang w:val="en-US"/>
        </w:rPr>
        <w:t xml:space="preserve">Medicare-certified HHAs </w:t>
      </w:r>
      <w:r w:rsidR="00FD1FF7" w:rsidRPr="002513B4">
        <w:rPr>
          <w:lang w:val="en-US"/>
        </w:rPr>
        <w:t xml:space="preserve">who meet survey eligibility criteria during a specified 12-month </w:t>
      </w:r>
      <w:r w:rsidR="004F1FC0" w:rsidRPr="002513B4">
        <w:rPr>
          <w:lang w:val="en-US"/>
        </w:rPr>
        <w:t>period but</w:t>
      </w:r>
      <w:r w:rsidR="00FD1FF7" w:rsidRPr="002513B4">
        <w:rPr>
          <w:lang w:val="en-US"/>
        </w:rPr>
        <w:t xml:space="preserve"> </w:t>
      </w:r>
      <w:r w:rsidRPr="002513B4">
        <w:rPr>
          <w:lang w:val="en-US"/>
        </w:rPr>
        <w:t xml:space="preserve">that serve 59 or fewer patients may request an exemption from participating in the HHCAHPS Survey. These agencies must count the number of patients who meet survey eligibility criteria that they served during each annual specified 12-month period and report the count to CMS by completing a </w:t>
      </w:r>
      <w:hyperlink r:id="rId43" w:history="1">
        <w:r w:rsidRPr="002513B4">
          <w:rPr>
            <w:rStyle w:val="Hyperlink"/>
            <w:lang w:val="en-US"/>
          </w:rPr>
          <w:t xml:space="preserve">Participation Exemption Request </w:t>
        </w:r>
        <w:r w:rsidR="00D8599B" w:rsidRPr="002513B4">
          <w:rPr>
            <w:rStyle w:val="Hyperlink"/>
            <w:lang w:val="en-US"/>
          </w:rPr>
          <w:t xml:space="preserve">(PER) </w:t>
        </w:r>
        <w:r w:rsidRPr="002513B4">
          <w:rPr>
            <w:rStyle w:val="Hyperlink"/>
            <w:lang w:val="en-US"/>
          </w:rPr>
          <w:t>form</w:t>
        </w:r>
      </w:hyperlink>
      <w:r w:rsidR="00694441" w:rsidRPr="002513B4">
        <w:rPr>
          <w:lang w:val="en-US"/>
        </w:rPr>
        <w:t> </w:t>
      </w:r>
      <w:r w:rsidR="00694441" w:rsidRPr="002513B4">
        <w:rPr>
          <w:noProof/>
          <w:lang w:val="en-US"/>
        </w:rPr>
        <w:drawing>
          <wp:inline distT="0" distB="0" distL="0" distR="0" wp14:anchorId="027B9197" wp14:editId="598D0C32">
            <wp:extent cx="95250" cy="95250"/>
            <wp:effectExtent l="0" t="0" r="0" b="0"/>
            <wp:docPr id="768914773" name="Graphic 768914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5D7899" w:rsidRPr="002513B4">
        <w:rPr>
          <w:lang w:val="en-US"/>
        </w:rPr>
        <w:t>,</w:t>
      </w:r>
      <w:r w:rsidRPr="002513B4">
        <w:rPr>
          <w:lang w:val="en-US"/>
        </w:rPr>
        <w:t xml:space="preserve"> available on the HHCAHPS Survey website. Public reporting of HHCAHPS Survey results includes four rolling quarters of data, with survey vendors submitting data on behalf of their HHAs for each quarter using the data submission tool function on the </w:t>
      </w:r>
      <w:hyperlink r:id="rId44" w:history="1">
        <w:r w:rsidR="00694441" w:rsidRPr="002513B4">
          <w:rPr>
            <w:rStyle w:val="Hyperlink"/>
            <w:lang w:val="en-US"/>
          </w:rPr>
          <w:t>HHCAHPS Survey website</w:t>
        </w:r>
      </w:hyperlink>
      <w:r w:rsidR="00694441" w:rsidRPr="002513B4">
        <w:rPr>
          <w:lang w:val="en-US"/>
        </w:rPr>
        <w:t> </w:t>
      </w:r>
      <w:r w:rsidR="00694441" w:rsidRPr="002513B4">
        <w:rPr>
          <w:noProof/>
          <w:lang w:val="en-US"/>
        </w:rPr>
        <w:drawing>
          <wp:inline distT="0" distB="0" distL="0" distR="0" wp14:anchorId="589AE04A" wp14:editId="489B67F3">
            <wp:extent cx="95250" cy="95250"/>
            <wp:effectExtent l="0" t="0" r="0" b="0"/>
            <wp:docPr id="952727775" name="Graphic 952727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lang w:val="en-US"/>
        </w:rPr>
        <w:t xml:space="preserve">. The data submitted are reviewed, cleaned, scored, and adjusted by the HHCAHPS Survey Coordination Team. Survey results are compiled for each HHA; a “preview” report containing the results is made available to each HHA for review before the results are publicly reported on Medicare’s </w:t>
      </w:r>
      <w:hyperlink r:id="rId45" w:history="1">
        <w:r w:rsidRPr="002513B4">
          <w:rPr>
            <w:rStyle w:val="Hyperlink"/>
            <w:lang w:val="en-US"/>
          </w:rPr>
          <w:t xml:space="preserve">Care Compare </w:t>
        </w:r>
        <w:r w:rsidR="008240CD" w:rsidRPr="002513B4">
          <w:rPr>
            <w:rStyle w:val="Hyperlink"/>
            <w:lang w:val="en-US"/>
          </w:rPr>
          <w:t>website</w:t>
        </w:r>
      </w:hyperlink>
      <w:r w:rsidR="008240CD" w:rsidRPr="002513B4">
        <w:rPr>
          <w:lang w:val="en-US"/>
        </w:rPr>
        <w:t xml:space="preserve">. </w:t>
      </w:r>
    </w:p>
    <w:p w14:paraId="527D2F04" w14:textId="3E83A1B5" w:rsidR="00EE74F9" w:rsidRPr="002513B4" w:rsidRDefault="00545FDE" w:rsidP="00EE74F9">
      <w:pPr>
        <w:pStyle w:val="Heading3"/>
        <w:rPr>
          <w:lang w:val="en-US"/>
        </w:rPr>
      </w:pPr>
      <w:bookmarkStart w:id="68" w:name="_Toc229286030"/>
      <w:bookmarkStart w:id="69" w:name="_Toc251318124"/>
      <w:bookmarkStart w:id="70" w:name="_Toc407633047"/>
      <w:bookmarkStart w:id="71" w:name="_Toc24713323"/>
      <w:bookmarkStart w:id="72" w:name="_Toc217305560"/>
      <w:r w:rsidRPr="002513B4">
        <w:rPr>
          <w:lang w:val="en-US"/>
        </w:rPr>
        <w:lastRenderedPageBreak/>
        <w:t>2.</w:t>
      </w:r>
      <w:r w:rsidR="00FA38B1" w:rsidRPr="002513B4">
        <w:rPr>
          <w:lang w:val="en-US"/>
        </w:rPr>
        <w:t>9</w:t>
      </w:r>
      <w:r w:rsidRPr="002513B4">
        <w:rPr>
          <w:lang w:val="en-US"/>
        </w:rPr>
        <w:tab/>
      </w:r>
      <w:r w:rsidR="00EE74F9" w:rsidRPr="002513B4">
        <w:rPr>
          <w:lang w:val="en-US"/>
        </w:rPr>
        <w:t>Sources of Information About the HHCAHPS Survey</w:t>
      </w:r>
      <w:bookmarkEnd w:id="68"/>
      <w:bookmarkEnd w:id="69"/>
      <w:bookmarkEnd w:id="70"/>
      <w:bookmarkEnd w:id="71"/>
      <w:bookmarkEnd w:id="72"/>
    </w:p>
    <w:p w14:paraId="2781985A" w14:textId="77777777" w:rsidR="00EE74F9" w:rsidRPr="002513B4" w:rsidRDefault="00EE74F9" w:rsidP="00EE74F9">
      <w:pPr>
        <w:pStyle w:val="BodyText"/>
        <w:rPr>
          <w:szCs w:val="16"/>
          <w:lang w:val="en-US"/>
        </w:rPr>
      </w:pPr>
      <w:r w:rsidRPr="002513B4">
        <w:rPr>
          <w:szCs w:val="16"/>
          <w:lang w:val="en-US"/>
        </w:rPr>
        <w:t>More information about the HHCAHPS Survey and home health care is available at the two websites described below.</w:t>
      </w:r>
    </w:p>
    <w:p w14:paraId="31BE7DC0" w14:textId="5025FF47" w:rsidR="00EE74F9" w:rsidRPr="002513B4" w:rsidRDefault="00545FDE" w:rsidP="00EE74F9">
      <w:pPr>
        <w:pStyle w:val="Heading4"/>
        <w:rPr>
          <w:b w:val="0"/>
          <w:bCs w:val="0"/>
          <w:i w:val="0"/>
          <w:iCs/>
          <w:lang w:val="en-US"/>
        </w:rPr>
      </w:pPr>
      <w:r w:rsidRPr="002513B4">
        <w:rPr>
          <w:lang w:val="en-US"/>
        </w:rPr>
        <w:t>2.</w:t>
      </w:r>
      <w:r w:rsidR="00FA38B1" w:rsidRPr="002513B4">
        <w:rPr>
          <w:lang w:val="en-US"/>
        </w:rPr>
        <w:t>9</w:t>
      </w:r>
      <w:r w:rsidRPr="002513B4">
        <w:rPr>
          <w:lang w:val="en-US"/>
        </w:rPr>
        <w:t>.1</w:t>
      </w:r>
      <w:r w:rsidR="00956623">
        <w:rPr>
          <w:lang w:val="en-US"/>
        </w:rPr>
        <w:tab/>
      </w:r>
      <w:r w:rsidR="00EE74F9" w:rsidRPr="002513B4">
        <w:rPr>
          <w:lang w:val="en-US"/>
        </w:rPr>
        <w:t xml:space="preserve">The </w:t>
      </w:r>
      <w:hyperlink r:id="rId46" w:history="1">
        <w:r w:rsidR="00EE74F9" w:rsidRPr="002513B4">
          <w:rPr>
            <w:rStyle w:val="Hyperlink"/>
            <w:lang w:val="en-US"/>
          </w:rPr>
          <w:t>HHCAHPS Survey Website</w:t>
        </w:r>
        <w:r w:rsidR="00694441" w:rsidRPr="002513B4">
          <w:rPr>
            <w:lang w:val="en-US"/>
          </w:rPr>
          <w:t> </w:t>
        </w:r>
      </w:hyperlink>
      <w:r w:rsidR="00694441" w:rsidRPr="002513B4">
        <w:rPr>
          <w:noProof/>
          <w:lang w:val="en-US"/>
        </w:rPr>
        <w:drawing>
          <wp:inline distT="0" distB="0" distL="0" distR="0" wp14:anchorId="7CBEBEF4" wp14:editId="3CB09C03">
            <wp:extent cx="95250" cy="95250"/>
            <wp:effectExtent l="0" t="0" r="0" b="0"/>
            <wp:docPr id="468493862" name="Graphic 468493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p>
    <w:p w14:paraId="73EB0C68" w14:textId="1BA8FF2D" w:rsidR="00EE74F9" w:rsidRPr="002513B4" w:rsidRDefault="00EE74F9" w:rsidP="00EE74F9">
      <w:pPr>
        <w:pStyle w:val="BodyText"/>
        <w:rPr>
          <w:lang w:val="en-US"/>
        </w:rPr>
      </w:pPr>
      <w:r w:rsidRPr="002513B4">
        <w:rPr>
          <w:lang w:val="en-US"/>
        </w:rPr>
        <w:t xml:space="preserve">The HHCAHPS Survey Coordination Team maintains </w:t>
      </w:r>
      <w:r w:rsidR="008240CD" w:rsidRPr="002513B4">
        <w:rPr>
          <w:lang w:val="en-US"/>
        </w:rPr>
        <w:t>the HHCAHPS Survey</w:t>
      </w:r>
      <w:r w:rsidRPr="002513B4">
        <w:rPr>
          <w:lang w:val="en-US"/>
        </w:rPr>
        <w:t xml:space="preserve"> website, hereafter in this chapter referred to as the HHCAHPS website or simply as the website. This website provides general information about the HHCAHPS Survey, contains the protocols and materials needed for survey implementation, and is one of the main vehicles for communicating information about the survey to HHAs and survey vendors. The website has both public and </w:t>
      </w:r>
      <w:r w:rsidR="00FD1FF7" w:rsidRPr="002513B4">
        <w:rPr>
          <w:lang w:val="en-US"/>
        </w:rPr>
        <w:t xml:space="preserve">private, </w:t>
      </w:r>
      <w:r w:rsidRPr="002513B4">
        <w:rPr>
          <w:lang w:val="en-US"/>
        </w:rPr>
        <w:t>secure pages.</w:t>
      </w:r>
    </w:p>
    <w:p w14:paraId="1B47F3EF" w14:textId="77777777" w:rsidR="00EE74F9" w:rsidRPr="002513B4" w:rsidRDefault="00EE74F9" w:rsidP="00EE74F9">
      <w:pPr>
        <w:pStyle w:val="BodyText"/>
        <w:keepNext/>
        <w:rPr>
          <w:lang w:val="en-US"/>
        </w:rPr>
      </w:pPr>
      <w:r w:rsidRPr="002513B4">
        <w:rPr>
          <w:lang w:val="en-US"/>
        </w:rPr>
        <w:t>The public access pages contain the following:</w:t>
      </w:r>
    </w:p>
    <w:p w14:paraId="3265DEEF" w14:textId="77777777" w:rsidR="00EE74F9" w:rsidRPr="002513B4" w:rsidRDefault="00EE74F9" w:rsidP="00EE74F9">
      <w:pPr>
        <w:pStyle w:val="ListBullet"/>
        <w:keepNext/>
        <w:rPr>
          <w:szCs w:val="20"/>
        </w:rPr>
      </w:pPr>
      <w:r w:rsidRPr="002513B4">
        <w:rPr>
          <w:szCs w:val="20"/>
        </w:rPr>
        <w:t>General information about the HHCAHPS Survey;</w:t>
      </w:r>
    </w:p>
    <w:p w14:paraId="092638C4" w14:textId="77777777" w:rsidR="00EE74F9" w:rsidRPr="002513B4" w:rsidRDefault="00EE74F9" w:rsidP="00EE74F9">
      <w:pPr>
        <w:pStyle w:val="ListBullet"/>
        <w:rPr>
          <w:szCs w:val="20"/>
        </w:rPr>
      </w:pPr>
      <w:r w:rsidRPr="002513B4">
        <w:rPr>
          <w:szCs w:val="20"/>
        </w:rPr>
        <w:t>Announcements about updates or changes in the survey protocols or materials and participation requirements;</w:t>
      </w:r>
    </w:p>
    <w:p w14:paraId="1A5C64B0" w14:textId="77777777" w:rsidR="00EE74F9" w:rsidRPr="002513B4" w:rsidRDefault="00EE74F9" w:rsidP="00EE74F9">
      <w:pPr>
        <w:pStyle w:val="ListBullet"/>
        <w:rPr>
          <w:szCs w:val="20"/>
        </w:rPr>
      </w:pPr>
      <w:r w:rsidRPr="002513B4">
        <w:rPr>
          <w:szCs w:val="20"/>
        </w:rPr>
        <w:t>Requirements for becoming an HHCAHPS Survey vendor;</w:t>
      </w:r>
    </w:p>
    <w:p w14:paraId="658F713A" w14:textId="77777777" w:rsidR="00EE74F9" w:rsidRPr="002513B4" w:rsidRDefault="00EE74F9" w:rsidP="00EE74F9">
      <w:pPr>
        <w:pStyle w:val="ListBullet"/>
        <w:rPr>
          <w:szCs w:val="20"/>
        </w:rPr>
      </w:pPr>
      <w:r w:rsidRPr="002513B4">
        <w:rPr>
          <w:szCs w:val="20"/>
        </w:rPr>
        <w:t>Data collection materials, protocols, and guidelines for administration of the HHCAHPS Survey;</w:t>
      </w:r>
    </w:p>
    <w:p w14:paraId="4AF7AE3D" w14:textId="77777777" w:rsidR="00EE74F9" w:rsidRPr="002513B4" w:rsidRDefault="00EE74F9" w:rsidP="00EE74F9">
      <w:pPr>
        <w:pStyle w:val="ListBullet"/>
        <w:rPr>
          <w:szCs w:val="20"/>
        </w:rPr>
      </w:pPr>
      <w:r w:rsidRPr="002513B4">
        <w:rPr>
          <w:szCs w:val="20"/>
        </w:rPr>
        <w:t>A list of approved HHCAHPS Survey vendors;</w:t>
      </w:r>
    </w:p>
    <w:p w14:paraId="1AE430C8" w14:textId="77777777" w:rsidR="00EE74F9" w:rsidRPr="002513B4" w:rsidRDefault="00EE74F9" w:rsidP="00EE74F9">
      <w:pPr>
        <w:pStyle w:val="ListBullet"/>
        <w:rPr>
          <w:szCs w:val="20"/>
        </w:rPr>
      </w:pPr>
      <w:r w:rsidRPr="002513B4">
        <w:rPr>
          <w:szCs w:val="20"/>
        </w:rPr>
        <w:t xml:space="preserve">Quality </w:t>
      </w:r>
      <w:r w:rsidR="00D8599B" w:rsidRPr="002513B4">
        <w:rPr>
          <w:szCs w:val="20"/>
        </w:rPr>
        <w:t>A</w:t>
      </w:r>
      <w:r w:rsidRPr="002513B4">
        <w:rPr>
          <w:szCs w:val="20"/>
        </w:rPr>
        <w:t xml:space="preserve">ssurance </w:t>
      </w:r>
      <w:r w:rsidR="00D8599B" w:rsidRPr="002513B4">
        <w:rPr>
          <w:szCs w:val="20"/>
        </w:rPr>
        <w:t>P</w:t>
      </w:r>
      <w:r w:rsidRPr="002513B4">
        <w:rPr>
          <w:szCs w:val="20"/>
        </w:rPr>
        <w:t>lan requirements;</w:t>
      </w:r>
    </w:p>
    <w:p w14:paraId="3F301B3C" w14:textId="77777777" w:rsidR="00EE74F9" w:rsidRPr="002513B4" w:rsidRDefault="00EE74F9" w:rsidP="00EE74F9">
      <w:pPr>
        <w:pStyle w:val="ListBullet"/>
        <w:rPr>
          <w:szCs w:val="20"/>
        </w:rPr>
      </w:pPr>
      <w:r w:rsidRPr="002513B4">
        <w:rPr>
          <w:szCs w:val="20"/>
        </w:rPr>
        <w:t>Data submission requirements; and</w:t>
      </w:r>
    </w:p>
    <w:p w14:paraId="33919794" w14:textId="77777777" w:rsidR="00EE74F9" w:rsidRPr="002513B4" w:rsidRDefault="00EE74F9" w:rsidP="00EE74F9">
      <w:pPr>
        <w:pStyle w:val="ListBullet"/>
        <w:rPr>
          <w:szCs w:val="20"/>
        </w:rPr>
      </w:pPr>
      <w:r w:rsidRPr="002513B4">
        <w:rPr>
          <w:szCs w:val="20"/>
        </w:rPr>
        <w:t>Information about how to obtain technical assistance.</w:t>
      </w:r>
    </w:p>
    <w:p w14:paraId="7370C6E1" w14:textId="186AB635" w:rsidR="00EE74F9" w:rsidRPr="002513B4" w:rsidRDefault="00EE74F9" w:rsidP="00EE74F9">
      <w:pPr>
        <w:pStyle w:val="BodyText"/>
        <w:rPr>
          <w:lang w:val="en-US"/>
        </w:rPr>
      </w:pPr>
      <w:r w:rsidRPr="002513B4">
        <w:rPr>
          <w:lang w:val="en-US"/>
        </w:rPr>
        <w:t xml:space="preserve">The </w:t>
      </w:r>
      <w:r w:rsidR="00873D92" w:rsidRPr="002513B4">
        <w:rPr>
          <w:i/>
          <w:lang w:val="en-US"/>
        </w:rPr>
        <w:t>P&amp;G Manual</w:t>
      </w:r>
      <w:r w:rsidRPr="002513B4">
        <w:rPr>
          <w:lang w:val="en-US"/>
        </w:rPr>
        <w:t xml:space="preserve"> is updated annually to reflect changes to participation requirements and changes in survey protocols, materials, and procedures; however, CMS and the Coordination Team use the HHCAHPS website to disseminate important interim updates and news about the HHCAHPS Survey, including information related to participation requirements, updates and changes to survey protocols or survey materials, information about upcoming events (e.g., data submission deadlines, vendor training), and public reporting. Announcements posted on the HHCAHPS Survey website may clarify or supersede existing protocols.</w:t>
      </w:r>
    </w:p>
    <w:p w14:paraId="488A95D5" w14:textId="259D713D" w:rsidR="00EE74F9" w:rsidRPr="002513B4" w:rsidRDefault="00EE74F9" w:rsidP="00EE74F9">
      <w:pPr>
        <w:pStyle w:val="BodyText"/>
        <w:rPr>
          <w:lang w:val="en-US"/>
        </w:rPr>
      </w:pPr>
      <w:r w:rsidRPr="002513B4">
        <w:rPr>
          <w:lang w:val="en-US"/>
        </w:rPr>
        <w:t xml:space="preserve">It is critically important that survey vendors and HHAs check the HHCAHPS website frequently for updates. To view announcements, go to the </w:t>
      </w:r>
      <w:hyperlink r:id="rId47" w:history="1">
        <w:r w:rsidR="00694441" w:rsidRPr="002513B4">
          <w:rPr>
            <w:rStyle w:val="Hyperlink"/>
            <w:lang w:val="en-US"/>
          </w:rPr>
          <w:t>HHCAHPS Survey website</w:t>
        </w:r>
      </w:hyperlink>
      <w:r w:rsidR="00694441" w:rsidRPr="002513B4">
        <w:rPr>
          <w:lang w:val="en-US"/>
        </w:rPr>
        <w:t> </w:t>
      </w:r>
      <w:r w:rsidR="00694441" w:rsidRPr="002513B4">
        <w:rPr>
          <w:noProof/>
          <w:lang w:val="en-US"/>
        </w:rPr>
        <w:drawing>
          <wp:inline distT="0" distB="0" distL="0" distR="0" wp14:anchorId="4AB75B0B" wp14:editId="772C9487">
            <wp:extent cx="95250" cy="95250"/>
            <wp:effectExtent l="0" t="0" r="0" b="0"/>
            <wp:docPr id="827447578" name="Graphic 82744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lang w:val="en-US"/>
        </w:rPr>
        <w:t xml:space="preserve"> and view the most recent announcements at the bottom of the home page or access archived announcements by selecting the “Announcements” link under the </w:t>
      </w:r>
      <w:r w:rsidR="00A4713E" w:rsidRPr="002513B4">
        <w:rPr>
          <w:lang w:val="en-US"/>
        </w:rPr>
        <w:t>“</w:t>
      </w:r>
      <w:r w:rsidRPr="002513B4">
        <w:rPr>
          <w:lang w:val="en-US"/>
        </w:rPr>
        <w:t>General Information</w:t>
      </w:r>
      <w:r w:rsidR="00A4713E" w:rsidRPr="002513B4">
        <w:rPr>
          <w:lang w:val="en-US"/>
        </w:rPr>
        <w:t>”</w:t>
      </w:r>
      <w:r w:rsidRPr="002513B4">
        <w:rPr>
          <w:lang w:val="en-US"/>
        </w:rPr>
        <w:t xml:space="preserve"> </w:t>
      </w:r>
      <w:r w:rsidR="00BD61B9" w:rsidRPr="002513B4">
        <w:rPr>
          <w:lang w:val="en-US"/>
        </w:rPr>
        <w:t>menu</w:t>
      </w:r>
      <w:r w:rsidRPr="002513B4">
        <w:rPr>
          <w:lang w:val="en-US"/>
        </w:rPr>
        <w:t>. The announcements are listed in chronological order, with the most recent announcement listed first.</w:t>
      </w:r>
    </w:p>
    <w:p w14:paraId="07A2DC08" w14:textId="17585D57" w:rsidR="00EE74F9" w:rsidRPr="002513B4" w:rsidRDefault="00EE74F9" w:rsidP="00EE74F9">
      <w:pPr>
        <w:pStyle w:val="BodyText"/>
        <w:rPr>
          <w:lang w:val="en-US"/>
        </w:rPr>
      </w:pPr>
      <w:r w:rsidRPr="002513B4">
        <w:rPr>
          <w:lang w:val="en-US"/>
        </w:rPr>
        <w:lastRenderedPageBreak/>
        <w:t xml:space="preserve">The secure or restricted-access sections of the HHCAHPS Survey website are accessible only to HHCAHPS Survey vendors and HHAs that have registered for credentials to access the links on the private </w:t>
      </w:r>
      <w:r w:rsidR="00816E0D" w:rsidRPr="002513B4">
        <w:rPr>
          <w:lang w:val="en-US"/>
        </w:rPr>
        <w:t xml:space="preserve">side </w:t>
      </w:r>
      <w:r w:rsidRPr="002513B4">
        <w:rPr>
          <w:lang w:val="en-US"/>
        </w:rPr>
        <w:t xml:space="preserve">of the website. After successfully logging in, users will see a personalized </w:t>
      </w:r>
      <w:r w:rsidR="00C33653" w:rsidRPr="002513B4">
        <w:rPr>
          <w:lang w:val="en-US"/>
        </w:rPr>
        <w:t>D</w:t>
      </w:r>
      <w:r w:rsidRPr="002513B4">
        <w:rPr>
          <w:lang w:val="en-US"/>
        </w:rPr>
        <w:t xml:space="preserve">ashboard. The links provided </w:t>
      </w:r>
      <w:r w:rsidR="00816E0D" w:rsidRPr="002513B4">
        <w:rPr>
          <w:lang w:val="en-US"/>
        </w:rPr>
        <w:t xml:space="preserve">on the private side </w:t>
      </w:r>
      <w:r w:rsidRPr="002513B4">
        <w:rPr>
          <w:lang w:val="en-US"/>
        </w:rPr>
        <w:t>of the website will enable HHAs to:</w:t>
      </w:r>
    </w:p>
    <w:p w14:paraId="0DDFD59B" w14:textId="77777777" w:rsidR="00EE74F9" w:rsidRPr="002513B4" w:rsidRDefault="00EE74F9" w:rsidP="00EE74F9">
      <w:pPr>
        <w:pStyle w:val="ListBullet"/>
        <w:rPr>
          <w:szCs w:val="20"/>
        </w:rPr>
      </w:pPr>
      <w:r w:rsidRPr="002513B4">
        <w:rPr>
          <w:szCs w:val="20"/>
        </w:rPr>
        <w:t>Authorize a survey vendor to submit HHCAHPS Survey data on their behalf, switch vendors, or view the agency’s authorization history;</w:t>
      </w:r>
    </w:p>
    <w:p w14:paraId="5F1265B6" w14:textId="77777777" w:rsidR="00EE74F9" w:rsidRPr="002513B4" w:rsidRDefault="00EE74F9" w:rsidP="00EE74F9">
      <w:pPr>
        <w:pStyle w:val="ListBullet"/>
        <w:rPr>
          <w:szCs w:val="20"/>
        </w:rPr>
      </w:pPr>
      <w:r w:rsidRPr="002513B4">
        <w:rPr>
          <w:szCs w:val="20"/>
        </w:rPr>
        <w:t xml:space="preserve">View data submission reports for data submitted by their respective survey vendors; </w:t>
      </w:r>
    </w:p>
    <w:p w14:paraId="5FD4DF1E" w14:textId="77777777" w:rsidR="00C33653" w:rsidRPr="002513B4" w:rsidRDefault="00EE74F9" w:rsidP="00EE74F9">
      <w:pPr>
        <w:pStyle w:val="ListBullet"/>
        <w:rPr>
          <w:szCs w:val="20"/>
        </w:rPr>
      </w:pPr>
      <w:r w:rsidRPr="002513B4">
        <w:rPr>
          <w:szCs w:val="20"/>
        </w:rPr>
        <w:t>“Preview” their HHCAHPS Survey results before the results are publicly reported</w:t>
      </w:r>
      <w:r w:rsidR="00C33653" w:rsidRPr="002513B4">
        <w:rPr>
          <w:szCs w:val="20"/>
        </w:rPr>
        <w:t>; and</w:t>
      </w:r>
    </w:p>
    <w:p w14:paraId="0480603D" w14:textId="77777777" w:rsidR="00EE74F9" w:rsidRPr="002513B4" w:rsidRDefault="00C33653" w:rsidP="00EE74F9">
      <w:pPr>
        <w:pStyle w:val="ListBullet"/>
        <w:rPr>
          <w:szCs w:val="20"/>
        </w:rPr>
      </w:pPr>
      <w:r w:rsidRPr="002513B4">
        <w:rPr>
          <w:szCs w:val="20"/>
        </w:rPr>
        <w:t>Grant access to additional HHA users</w:t>
      </w:r>
      <w:r w:rsidR="00EE74F9" w:rsidRPr="002513B4">
        <w:rPr>
          <w:szCs w:val="20"/>
        </w:rPr>
        <w:t>.</w:t>
      </w:r>
    </w:p>
    <w:p w14:paraId="4BF8AB92" w14:textId="77777777" w:rsidR="00EE74F9" w:rsidRPr="002513B4" w:rsidRDefault="00EE74F9" w:rsidP="00EE74F9">
      <w:pPr>
        <w:pStyle w:val="BodyText"/>
        <w:rPr>
          <w:lang w:val="en-US"/>
        </w:rPr>
      </w:pPr>
      <w:r w:rsidRPr="002513B4">
        <w:rPr>
          <w:lang w:val="en-US"/>
        </w:rPr>
        <w:t>Additional secured links on the HHCAHPS Survey website are accessible to survey vendors who have been given access credentials. These private secured links allow survey vendors to:</w:t>
      </w:r>
    </w:p>
    <w:p w14:paraId="330406B0" w14:textId="7AD6837A" w:rsidR="004D5E4C" w:rsidRPr="002513B4" w:rsidRDefault="004D5E4C" w:rsidP="00EE74F9">
      <w:pPr>
        <w:pStyle w:val="ListBullet"/>
        <w:rPr>
          <w:szCs w:val="20"/>
        </w:rPr>
      </w:pPr>
      <w:r w:rsidRPr="002513B4">
        <w:rPr>
          <w:szCs w:val="20"/>
        </w:rPr>
        <w:t>Access their online Vendor Application form;</w:t>
      </w:r>
    </w:p>
    <w:p w14:paraId="1DDAEEB6" w14:textId="79865F54" w:rsidR="00EE74F9" w:rsidRPr="002513B4" w:rsidRDefault="00EE74F9" w:rsidP="00EE74F9">
      <w:pPr>
        <w:pStyle w:val="ListBullet"/>
        <w:rPr>
          <w:szCs w:val="20"/>
        </w:rPr>
      </w:pPr>
      <w:r w:rsidRPr="002513B4">
        <w:rPr>
          <w:szCs w:val="20"/>
        </w:rPr>
        <w:t xml:space="preserve">View the current list of HHAs that have authorized the vendor to submit data on their behalf; </w:t>
      </w:r>
    </w:p>
    <w:p w14:paraId="73047A74" w14:textId="77777777" w:rsidR="00A80D59" w:rsidRPr="002513B4" w:rsidRDefault="00EE74F9" w:rsidP="00EE74F9">
      <w:pPr>
        <w:pStyle w:val="ListBullet"/>
        <w:rPr>
          <w:szCs w:val="20"/>
        </w:rPr>
      </w:pPr>
      <w:r w:rsidRPr="002513B4">
        <w:rPr>
          <w:szCs w:val="20"/>
        </w:rPr>
        <w:t>Access the HHCAHPS Survey data submission tool and reports containing information about submitted data</w:t>
      </w:r>
      <w:r w:rsidR="00C33653" w:rsidRPr="002513B4">
        <w:rPr>
          <w:szCs w:val="20"/>
        </w:rPr>
        <w:t xml:space="preserve">; </w:t>
      </w:r>
    </w:p>
    <w:p w14:paraId="0DDAB924" w14:textId="77777777" w:rsidR="00C33653" w:rsidRPr="002513B4" w:rsidRDefault="00A80D59" w:rsidP="00EE74F9">
      <w:pPr>
        <w:pStyle w:val="ListBullet"/>
        <w:rPr>
          <w:szCs w:val="20"/>
        </w:rPr>
      </w:pPr>
      <w:r w:rsidRPr="002513B4">
        <w:rPr>
          <w:szCs w:val="20"/>
        </w:rPr>
        <w:t xml:space="preserve">Notify the HHCAHPS Survey Coordination Team of planned and unplanned deviations from standard protocols via online forms; </w:t>
      </w:r>
      <w:r w:rsidR="00C33653" w:rsidRPr="002513B4">
        <w:rPr>
          <w:szCs w:val="20"/>
        </w:rPr>
        <w:t xml:space="preserve">and </w:t>
      </w:r>
    </w:p>
    <w:p w14:paraId="1AFD5D71" w14:textId="77777777" w:rsidR="00EE74F9" w:rsidRPr="002513B4" w:rsidRDefault="00C33653" w:rsidP="00EE74F9">
      <w:pPr>
        <w:pStyle w:val="ListBullet"/>
        <w:rPr>
          <w:szCs w:val="20"/>
        </w:rPr>
      </w:pPr>
      <w:r w:rsidRPr="002513B4">
        <w:rPr>
          <w:szCs w:val="20"/>
        </w:rPr>
        <w:t>Submit their Quality Assurance Plan (QAP) for review</w:t>
      </w:r>
      <w:r w:rsidR="00EE74F9" w:rsidRPr="002513B4">
        <w:rPr>
          <w:szCs w:val="20"/>
        </w:rPr>
        <w:t>.</w:t>
      </w:r>
    </w:p>
    <w:p w14:paraId="04F676D8" w14:textId="77E3BFC2" w:rsidR="00EE74F9" w:rsidRPr="002513B4" w:rsidRDefault="00EE74F9" w:rsidP="00EE74F9">
      <w:pPr>
        <w:pStyle w:val="BodyText"/>
        <w:rPr>
          <w:lang w:val="en-US"/>
        </w:rPr>
      </w:pPr>
      <w:r w:rsidRPr="002513B4">
        <w:rPr>
          <w:lang w:val="en-US"/>
        </w:rPr>
        <w:t xml:space="preserve">More detailed information about the HHCAHPS Survey website is included in </w:t>
      </w:r>
      <w:r w:rsidRPr="002513B4">
        <w:rPr>
          <w:b/>
          <w:bCs/>
          <w:i/>
          <w:iCs/>
          <w:lang w:val="en-US"/>
        </w:rPr>
        <w:t>Chapter </w:t>
      </w:r>
      <w:r w:rsidR="00F91C57" w:rsidRPr="002513B4">
        <w:rPr>
          <w:b/>
          <w:bCs/>
          <w:i/>
          <w:iCs/>
          <w:lang w:val="en-US"/>
        </w:rPr>
        <w:t>11</w:t>
      </w:r>
      <w:r w:rsidRPr="002513B4">
        <w:rPr>
          <w:b/>
          <w:bCs/>
          <w:i/>
          <w:iCs/>
          <w:lang w:val="en-US"/>
        </w:rPr>
        <w:t xml:space="preserve"> </w:t>
      </w:r>
      <w:r w:rsidRPr="002513B4">
        <w:rPr>
          <w:lang w:val="en-US"/>
        </w:rPr>
        <w:t xml:space="preserve">of this manual and in the </w:t>
      </w:r>
      <w:r w:rsidRPr="002513B4">
        <w:rPr>
          <w:i/>
          <w:lang w:val="en-US"/>
        </w:rPr>
        <w:t xml:space="preserve">Home Health Care CAHPS Survey Website User and Data Submissions Manual, Version </w:t>
      </w:r>
      <w:r w:rsidR="0068405D" w:rsidRPr="002513B4">
        <w:rPr>
          <w:i/>
          <w:lang w:val="en-US"/>
        </w:rPr>
        <w:t>1</w:t>
      </w:r>
      <w:r w:rsidR="004D5E4C" w:rsidRPr="002513B4">
        <w:rPr>
          <w:i/>
          <w:lang w:val="en-US"/>
        </w:rPr>
        <w:t>4</w:t>
      </w:r>
      <w:r w:rsidRPr="002513B4">
        <w:rPr>
          <w:i/>
          <w:lang w:val="en-US"/>
        </w:rPr>
        <w:t>.0</w:t>
      </w:r>
      <w:r w:rsidR="005D7899" w:rsidRPr="002513B4">
        <w:rPr>
          <w:iCs/>
          <w:lang w:val="en-US"/>
        </w:rPr>
        <w:t>,</w:t>
      </w:r>
      <w:r w:rsidRPr="002513B4">
        <w:rPr>
          <w:lang w:val="en-US"/>
        </w:rPr>
        <w:t xml:space="preserve"> </w:t>
      </w:r>
      <w:r w:rsidR="004D5E4C" w:rsidRPr="002513B4">
        <w:rPr>
          <w:lang w:val="en-US"/>
        </w:rPr>
        <w:t xml:space="preserve">available on the </w:t>
      </w:r>
      <w:hyperlink r:id="rId48" w:history="1">
        <w:r w:rsidR="00C33653" w:rsidRPr="002513B4">
          <w:rPr>
            <w:rStyle w:val="Hyperlink"/>
            <w:lang w:val="en-US"/>
          </w:rPr>
          <w:t xml:space="preserve">Data Submission Resources </w:t>
        </w:r>
        <w:r w:rsidR="004D5E4C" w:rsidRPr="002513B4">
          <w:rPr>
            <w:rStyle w:val="Hyperlink"/>
            <w:lang w:val="en-US"/>
          </w:rPr>
          <w:t>web</w:t>
        </w:r>
        <w:r w:rsidR="00DB4C5C" w:rsidRPr="002513B4">
          <w:rPr>
            <w:rStyle w:val="Hyperlink"/>
            <w:lang w:val="en-US"/>
          </w:rPr>
          <w:t xml:space="preserve"> </w:t>
        </w:r>
        <w:r w:rsidR="004D5E4C" w:rsidRPr="002513B4">
          <w:rPr>
            <w:rStyle w:val="Hyperlink"/>
            <w:lang w:val="en-US"/>
          </w:rPr>
          <w:t>page</w:t>
        </w:r>
      </w:hyperlink>
      <w:r w:rsidR="00694441" w:rsidRPr="002513B4">
        <w:rPr>
          <w:lang w:val="en-US"/>
        </w:rPr>
        <w:t> </w:t>
      </w:r>
      <w:r w:rsidR="00694441" w:rsidRPr="002513B4">
        <w:rPr>
          <w:noProof/>
          <w:lang w:val="en-US"/>
        </w:rPr>
        <w:drawing>
          <wp:inline distT="0" distB="0" distL="0" distR="0" wp14:anchorId="6160427F" wp14:editId="44E3EDBC">
            <wp:extent cx="95250" cy="95250"/>
            <wp:effectExtent l="0" t="0" r="0" b="0"/>
            <wp:docPr id="1045910951" name="Graphic 10459109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DB4C5C" w:rsidRPr="002513B4">
        <w:rPr>
          <w:lang w:val="en-US"/>
        </w:rPr>
        <w:t>of the HHCAHPS Survey website</w:t>
      </w:r>
      <w:r w:rsidRPr="002513B4">
        <w:rPr>
          <w:lang w:val="en-US"/>
        </w:rPr>
        <w:t>.</w:t>
      </w:r>
    </w:p>
    <w:p w14:paraId="7E39F82F" w14:textId="1E089F90" w:rsidR="00EE74F9" w:rsidRPr="002513B4" w:rsidRDefault="00545FDE" w:rsidP="00EE74F9">
      <w:pPr>
        <w:pStyle w:val="Heading4"/>
        <w:rPr>
          <w:b w:val="0"/>
          <w:bCs w:val="0"/>
          <w:lang w:val="en-US"/>
        </w:rPr>
      </w:pPr>
      <w:r w:rsidRPr="002513B4">
        <w:rPr>
          <w:lang w:val="en-US"/>
        </w:rPr>
        <w:t>2.</w:t>
      </w:r>
      <w:r w:rsidR="00FA38B1" w:rsidRPr="002513B4">
        <w:rPr>
          <w:lang w:val="en-US"/>
        </w:rPr>
        <w:t>9</w:t>
      </w:r>
      <w:r w:rsidRPr="002513B4">
        <w:rPr>
          <w:lang w:val="en-US"/>
        </w:rPr>
        <w:t>.2</w:t>
      </w:r>
      <w:r w:rsidR="00220FDF">
        <w:rPr>
          <w:lang w:val="en-US"/>
        </w:rPr>
        <w:tab/>
      </w:r>
      <w:r w:rsidR="00EE74F9" w:rsidRPr="002513B4">
        <w:rPr>
          <w:lang w:val="en-US"/>
        </w:rPr>
        <w:t xml:space="preserve">The Medicare </w:t>
      </w:r>
      <w:hyperlink r:id="rId49" w:history="1">
        <w:r w:rsidR="00694441" w:rsidRPr="002513B4">
          <w:rPr>
            <w:rStyle w:val="Hyperlink"/>
            <w:lang w:val="en-US"/>
          </w:rPr>
          <w:t xml:space="preserve">Care Compare </w:t>
        </w:r>
        <w:r w:rsidR="00EE74F9" w:rsidRPr="002513B4">
          <w:rPr>
            <w:rStyle w:val="Hyperlink"/>
            <w:lang w:val="en-US"/>
          </w:rPr>
          <w:t>Website</w:t>
        </w:r>
      </w:hyperlink>
    </w:p>
    <w:p w14:paraId="10F31A5D" w14:textId="77777777" w:rsidR="00EE74F9" w:rsidRPr="002513B4" w:rsidRDefault="00EE74F9" w:rsidP="00EE74F9">
      <w:pPr>
        <w:pStyle w:val="BodyText"/>
        <w:rPr>
          <w:szCs w:val="16"/>
          <w:lang w:val="en-US"/>
        </w:rPr>
      </w:pPr>
      <w:r w:rsidRPr="002513B4">
        <w:rPr>
          <w:szCs w:val="16"/>
          <w:lang w:val="en-US"/>
        </w:rPr>
        <w:t>This website is maintained by CMS and contains information on the services Medicare provides. Of particular interest to HHCAHPS Survey users is Medicare’s Care Compare site, which provides information to the public on various quality measures. Viewers can obtain comparative information about HHAs by state, ZIP code, and county.</w:t>
      </w:r>
    </w:p>
    <w:p w14:paraId="180471A2" w14:textId="533C95F1" w:rsidR="003A3C10" w:rsidRPr="00220FDF" w:rsidRDefault="00EE74F9" w:rsidP="00220FDF">
      <w:pPr>
        <w:pStyle w:val="BodyText"/>
        <w:rPr>
          <w:szCs w:val="16"/>
          <w:lang w:val="en-US"/>
        </w:rPr>
      </w:pPr>
      <w:r w:rsidRPr="002513B4">
        <w:rPr>
          <w:szCs w:val="16"/>
          <w:lang w:val="en-US"/>
        </w:rPr>
        <w:t>This website also displays clinical measures compiled from the Outcome and Assessment Information Set (OASIS) about home health care and the results from the HHCAHPS Survey. HHCAHPS Survey results are based on survey response data from the four quarters for which HHCAHPS Survey data are available and are updated each calendar year quarter.</w:t>
      </w:r>
      <w:r w:rsidR="003A3C10" w:rsidRPr="002513B4">
        <w:rPr>
          <w:lang w:val="en-US"/>
        </w:rPr>
        <w:br w:type="page"/>
      </w:r>
    </w:p>
    <w:p w14:paraId="7614A7DE" w14:textId="77777777" w:rsidR="00EE74F9" w:rsidRPr="002513B4" w:rsidRDefault="00EE74F9" w:rsidP="00EE74F9">
      <w:pPr>
        <w:pStyle w:val="BodyText"/>
        <w:rPr>
          <w:lang w:val="en-US"/>
        </w:rPr>
        <w:sectPr w:rsidR="00EE74F9" w:rsidRPr="002513B4" w:rsidSect="00C85F17">
          <w:headerReference w:type="even" r:id="rId50"/>
          <w:headerReference w:type="default" r:id="rId51"/>
          <w:footerReference w:type="even" r:id="rId52"/>
          <w:headerReference w:type="first" r:id="rId53"/>
          <w:pgSz w:w="12240" w:h="15840" w:code="1"/>
          <w:pgMar w:top="1440" w:right="1440" w:bottom="1440" w:left="1440" w:header="720" w:footer="720" w:gutter="0"/>
          <w:cols w:space="720"/>
          <w:titlePg/>
        </w:sectPr>
      </w:pPr>
    </w:p>
    <w:p w14:paraId="1178D7CD" w14:textId="145DBD3C" w:rsidR="00EE74F9" w:rsidRPr="002513B4" w:rsidRDefault="009F27F5" w:rsidP="00EE74F9">
      <w:pPr>
        <w:pStyle w:val="Heading2"/>
        <w:rPr>
          <w:lang w:val="en-US"/>
        </w:rPr>
      </w:pPr>
      <w:bookmarkStart w:id="73" w:name="_Toc224984396"/>
      <w:bookmarkStart w:id="74" w:name="_Toc343765388"/>
      <w:bookmarkStart w:id="75" w:name="_Toc402776460"/>
      <w:bookmarkStart w:id="76" w:name="_Toc217305561"/>
      <w:r w:rsidRPr="002513B4">
        <w:rPr>
          <w:lang w:val="en-US"/>
        </w:rPr>
        <w:lastRenderedPageBreak/>
        <w:t>Chapter</w:t>
      </w:r>
      <w:r w:rsidR="00545FDE" w:rsidRPr="002513B4">
        <w:rPr>
          <w:lang w:val="en-US"/>
        </w:rPr>
        <w:t xml:space="preserve"> 3</w:t>
      </w:r>
      <w:r w:rsidR="00FA38B1" w:rsidRPr="002513B4">
        <w:rPr>
          <w:lang w:val="en-US"/>
        </w:rPr>
        <w:t>:</w:t>
      </w:r>
      <w:r w:rsidR="00EE74F9" w:rsidRPr="002513B4">
        <w:rPr>
          <w:lang w:val="en-US"/>
        </w:rPr>
        <w:t xml:space="preserve"> </w:t>
      </w:r>
      <w:bookmarkStart w:id="77" w:name="_Toc251318125"/>
      <w:bookmarkEnd w:id="73"/>
      <w:r w:rsidR="00EE74F9" w:rsidRPr="002513B4">
        <w:rPr>
          <w:lang w:val="en-US"/>
        </w:rPr>
        <w:t>Home Health Care CAHPS Survey Participation Requirements</w:t>
      </w:r>
      <w:bookmarkEnd w:id="74"/>
      <w:bookmarkEnd w:id="75"/>
      <w:bookmarkEnd w:id="76"/>
      <w:bookmarkEnd w:id="77"/>
    </w:p>
    <w:p w14:paraId="63FB9987" w14:textId="637596B1" w:rsidR="00EE74F9" w:rsidRPr="002513B4" w:rsidRDefault="00545FDE" w:rsidP="00EE74F9">
      <w:pPr>
        <w:pStyle w:val="Heading3"/>
        <w:rPr>
          <w:lang w:val="en-US"/>
        </w:rPr>
      </w:pPr>
      <w:bookmarkStart w:id="78" w:name="_Toc251318126"/>
      <w:bookmarkStart w:id="79" w:name="_Toc407633049"/>
      <w:bookmarkStart w:id="80" w:name="_Toc24713325"/>
      <w:bookmarkStart w:id="81" w:name="_Toc217305562"/>
      <w:r w:rsidRPr="002513B4">
        <w:rPr>
          <w:lang w:val="en-US"/>
        </w:rPr>
        <w:t>3.1</w:t>
      </w:r>
      <w:r w:rsidR="004A08B8" w:rsidRPr="002513B4">
        <w:rPr>
          <w:lang w:val="en-US"/>
        </w:rPr>
        <w:tab/>
      </w:r>
      <w:r w:rsidR="00EE74F9" w:rsidRPr="002513B4">
        <w:rPr>
          <w:lang w:val="en-US"/>
        </w:rPr>
        <w:t>Overview</w:t>
      </w:r>
      <w:bookmarkEnd w:id="78"/>
      <w:bookmarkEnd w:id="79"/>
      <w:bookmarkEnd w:id="80"/>
      <w:bookmarkEnd w:id="81"/>
    </w:p>
    <w:p w14:paraId="463DC9E0" w14:textId="281AA955" w:rsidR="00EE74F9" w:rsidRPr="002513B4" w:rsidRDefault="00EE74F9" w:rsidP="00EE74F9">
      <w:pPr>
        <w:pStyle w:val="BodyText"/>
        <w:rPr>
          <w:szCs w:val="16"/>
          <w:lang w:val="en-US"/>
        </w:rPr>
      </w:pPr>
      <w:r w:rsidRPr="002513B4">
        <w:rPr>
          <w:szCs w:val="16"/>
          <w:lang w:val="en-US"/>
        </w:rPr>
        <w:t>This chapter describes participation requirements for the HHCAHPS Survey, including the roles and responsibilities of CMS and its HHCAHPS Survey Coordination Team, HHAs, and survey vendors that administer the HHCAHPS Survey for HHAs. This chapter also discusses the rules of participation and outlines the business requirements that survey vendors must meet to be approved to administer the HHCAHPS Survey. Information about obtaining technical assistance from the Coordination Team is also provided in this chapter.</w:t>
      </w:r>
    </w:p>
    <w:p w14:paraId="4B767D8D" w14:textId="35B47FD3" w:rsidR="00EE74F9" w:rsidRPr="002513B4" w:rsidRDefault="00545FDE" w:rsidP="00EE74F9">
      <w:pPr>
        <w:pStyle w:val="Heading3"/>
        <w:rPr>
          <w:lang w:val="en-US"/>
        </w:rPr>
      </w:pPr>
      <w:bookmarkStart w:id="82" w:name="_Toc224984398"/>
      <w:bookmarkStart w:id="83" w:name="_Toc251318127"/>
      <w:bookmarkStart w:id="84" w:name="_Toc407633050"/>
      <w:bookmarkStart w:id="85" w:name="_Toc24713326"/>
      <w:bookmarkStart w:id="86" w:name="_Toc217305563"/>
      <w:r w:rsidRPr="002513B4">
        <w:rPr>
          <w:lang w:val="en-US"/>
        </w:rPr>
        <w:t>3.2</w:t>
      </w:r>
      <w:r w:rsidR="004A08B8" w:rsidRPr="002513B4">
        <w:rPr>
          <w:lang w:val="en-US"/>
        </w:rPr>
        <w:tab/>
      </w:r>
      <w:r w:rsidR="00EE74F9" w:rsidRPr="002513B4">
        <w:rPr>
          <w:lang w:val="en-US"/>
        </w:rPr>
        <w:t>Roles and Responsibilities</w:t>
      </w:r>
      <w:bookmarkEnd w:id="82"/>
      <w:bookmarkEnd w:id="83"/>
      <w:bookmarkEnd w:id="84"/>
      <w:bookmarkEnd w:id="85"/>
      <w:bookmarkEnd w:id="86"/>
    </w:p>
    <w:p w14:paraId="1BBB68A3" w14:textId="77777777" w:rsidR="00EE74F9" w:rsidRPr="002513B4" w:rsidRDefault="00EE74F9" w:rsidP="00EE74F9">
      <w:pPr>
        <w:pStyle w:val="BodyText"/>
        <w:rPr>
          <w:szCs w:val="16"/>
          <w:lang w:val="en-US"/>
        </w:rPr>
      </w:pPr>
      <w:r w:rsidRPr="002513B4">
        <w:rPr>
          <w:szCs w:val="16"/>
          <w:lang w:val="en-US"/>
        </w:rPr>
        <w:t xml:space="preserve">CMS is responsible for ensuring that the HHCAHPS Survey is administered using standardized survey protocols and data collection and processing methods. CMS works very closely with its HHCAHPS Survey Coordination Team to provide training, technical assistance, and oversight to approved survey vendors. Technical assistance is also provided to HHAs. HHAs are responsible for contracting with an approved survey vendor to conduct the HHCAHPS Survey on their behalf and for providing a </w:t>
      </w:r>
      <w:r w:rsidR="00352CEA" w:rsidRPr="002513B4">
        <w:rPr>
          <w:szCs w:val="16"/>
          <w:lang w:val="en-US"/>
        </w:rPr>
        <w:t xml:space="preserve">monthly </w:t>
      </w:r>
      <w:r w:rsidRPr="002513B4">
        <w:rPr>
          <w:szCs w:val="16"/>
          <w:lang w:val="en-US"/>
        </w:rPr>
        <w:t>patient information file containing data about patients served. Survey vendors are responsible for conducting the HHCAHPS Survey on behalf of their client HHAs following the standard protocols and guidelines described in this manual.</w:t>
      </w:r>
    </w:p>
    <w:p w14:paraId="7FA9E398" w14:textId="77777777" w:rsidR="00EE74F9" w:rsidRPr="002513B4" w:rsidRDefault="00EE74F9" w:rsidP="00EE74F9">
      <w:pPr>
        <w:pStyle w:val="BodyText"/>
        <w:rPr>
          <w:szCs w:val="16"/>
          <w:lang w:val="en-US"/>
        </w:rPr>
      </w:pPr>
      <w:r w:rsidRPr="002513B4">
        <w:rPr>
          <w:szCs w:val="16"/>
          <w:lang w:val="en-US"/>
        </w:rPr>
        <w:t>The roles and responsibilities of each of these participating organizations are described below.</w:t>
      </w:r>
    </w:p>
    <w:p w14:paraId="338D28C5" w14:textId="2264CDDC" w:rsidR="00EE74F9" w:rsidRPr="002513B4" w:rsidRDefault="00545FDE" w:rsidP="00FA38B1">
      <w:pPr>
        <w:pStyle w:val="Heading4"/>
        <w:rPr>
          <w:lang w:val="en-US"/>
        </w:rPr>
      </w:pPr>
      <w:r w:rsidRPr="002513B4">
        <w:rPr>
          <w:lang w:val="en-US"/>
        </w:rPr>
        <w:t>3.2.1</w:t>
      </w:r>
      <w:r w:rsidR="00220FDF">
        <w:rPr>
          <w:lang w:val="en-US"/>
        </w:rPr>
        <w:tab/>
      </w:r>
      <w:r w:rsidR="00EE74F9" w:rsidRPr="002513B4">
        <w:rPr>
          <w:lang w:val="en-US"/>
        </w:rPr>
        <w:t>Roles and Responsibilities of CMS and the HHCAHPS Survey Coordination</w:t>
      </w:r>
      <w:r w:rsidR="00220FDF">
        <w:rPr>
          <w:lang w:val="en-US"/>
        </w:rPr>
        <w:t> </w:t>
      </w:r>
      <w:r w:rsidR="00EE74F9" w:rsidRPr="002513B4">
        <w:rPr>
          <w:lang w:val="en-US"/>
        </w:rPr>
        <w:t>Team</w:t>
      </w:r>
    </w:p>
    <w:p w14:paraId="4961CC6E" w14:textId="77777777" w:rsidR="00EE74F9" w:rsidRPr="002513B4" w:rsidRDefault="00EE74F9" w:rsidP="00EE74F9">
      <w:pPr>
        <w:pStyle w:val="BodyText"/>
        <w:keepNext/>
        <w:rPr>
          <w:szCs w:val="16"/>
          <w:lang w:val="en-US"/>
        </w:rPr>
      </w:pPr>
      <w:r w:rsidRPr="002513B4">
        <w:rPr>
          <w:szCs w:val="16"/>
          <w:lang w:val="en-US"/>
        </w:rPr>
        <w:t>CMS and the HHCAHPS Survey Coordination Team are responsible for the following activities on the HHCAHPS Survey:</w:t>
      </w:r>
    </w:p>
    <w:p w14:paraId="47EC8103" w14:textId="77777777" w:rsidR="00EE74F9" w:rsidRPr="002513B4" w:rsidRDefault="00EE74F9" w:rsidP="008A02ED">
      <w:pPr>
        <w:pStyle w:val="ListBullet"/>
        <w:rPr>
          <w:szCs w:val="20"/>
        </w:rPr>
      </w:pPr>
      <w:r w:rsidRPr="002513B4">
        <w:rPr>
          <w:szCs w:val="20"/>
        </w:rPr>
        <w:t>Disseminate information about HHCAHPS Survey administration;</w:t>
      </w:r>
    </w:p>
    <w:p w14:paraId="571E1CE4" w14:textId="77777777" w:rsidR="00EE74F9" w:rsidRPr="002513B4" w:rsidRDefault="00EE74F9" w:rsidP="008A02ED">
      <w:pPr>
        <w:pStyle w:val="ListBullet"/>
        <w:rPr>
          <w:szCs w:val="20"/>
        </w:rPr>
      </w:pPr>
      <w:r w:rsidRPr="002513B4">
        <w:rPr>
          <w:szCs w:val="20"/>
        </w:rPr>
        <w:t>Train survey vendors on HHCAHPS Survey protocols and requirements;</w:t>
      </w:r>
    </w:p>
    <w:p w14:paraId="394737A3" w14:textId="79830437" w:rsidR="00EE74F9" w:rsidRPr="002513B4" w:rsidRDefault="00EE74F9" w:rsidP="008A02ED">
      <w:pPr>
        <w:pStyle w:val="ListBullet"/>
        <w:rPr>
          <w:szCs w:val="20"/>
        </w:rPr>
      </w:pPr>
      <w:r w:rsidRPr="002513B4">
        <w:rPr>
          <w:szCs w:val="20"/>
        </w:rPr>
        <w:t xml:space="preserve">Monitor data integrity of HHCAHPS Survey administration to </w:t>
      </w:r>
      <w:r w:rsidR="00FD36FB" w:rsidRPr="002513B4">
        <w:rPr>
          <w:szCs w:val="20"/>
        </w:rPr>
        <w:t xml:space="preserve">confirm </w:t>
      </w:r>
      <w:r w:rsidRPr="002513B4">
        <w:rPr>
          <w:szCs w:val="20"/>
        </w:rPr>
        <w:t>the quality and comparability of the data;</w:t>
      </w:r>
    </w:p>
    <w:p w14:paraId="7C2E35C3" w14:textId="75ACAEFD" w:rsidR="00EE74F9" w:rsidRPr="002513B4" w:rsidRDefault="00EE74F9" w:rsidP="008A02ED">
      <w:pPr>
        <w:pStyle w:val="ListBullet"/>
        <w:rPr>
          <w:szCs w:val="20"/>
        </w:rPr>
      </w:pPr>
      <w:r w:rsidRPr="002513B4">
        <w:rPr>
          <w:szCs w:val="20"/>
        </w:rPr>
        <w:t>Provide technical assistance to HHAs and approved HHCAHPS Survey vendors via a toll-free telephone number</w:t>
      </w:r>
      <w:r w:rsidR="00662229" w:rsidRPr="002513B4">
        <w:rPr>
          <w:szCs w:val="20"/>
        </w:rPr>
        <w:t xml:space="preserve"> and</w:t>
      </w:r>
      <w:r w:rsidRPr="002513B4">
        <w:rPr>
          <w:szCs w:val="20"/>
        </w:rPr>
        <w:t xml:space="preserve"> email;</w:t>
      </w:r>
    </w:p>
    <w:p w14:paraId="13D179F8" w14:textId="77777777" w:rsidR="00EE74F9" w:rsidRPr="002513B4" w:rsidRDefault="00EE74F9" w:rsidP="008A02ED">
      <w:pPr>
        <w:pStyle w:val="ListBullet"/>
        <w:rPr>
          <w:szCs w:val="20"/>
        </w:rPr>
      </w:pPr>
      <w:r w:rsidRPr="002513B4">
        <w:rPr>
          <w:szCs w:val="20"/>
        </w:rPr>
        <w:t>Conduct oversight and quality assurance of survey vendors;</w:t>
      </w:r>
    </w:p>
    <w:p w14:paraId="6640E9F2" w14:textId="77777777" w:rsidR="00EE74F9" w:rsidRPr="002513B4" w:rsidRDefault="00EE74F9" w:rsidP="008A02ED">
      <w:pPr>
        <w:pStyle w:val="ListBullet"/>
        <w:rPr>
          <w:szCs w:val="20"/>
        </w:rPr>
      </w:pPr>
      <w:r w:rsidRPr="002513B4">
        <w:rPr>
          <w:szCs w:val="20"/>
        </w:rPr>
        <w:lastRenderedPageBreak/>
        <w:t>Receive and conduct final processing of HHCAHPS Survey data submitted by approved survey vendors;</w:t>
      </w:r>
    </w:p>
    <w:p w14:paraId="635BD45C" w14:textId="77777777" w:rsidR="00EE74F9" w:rsidRPr="002513B4" w:rsidRDefault="00EE74F9" w:rsidP="008A02ED">
      <w:pPr>
        <w:pStyle w:val="ListBullet"/>
        <w:rPr>
          <w:szCs w:val="20"/>
        </w:rPr>
      </w:pPr>
      <w:r w:rsidRPr="002513B4">
        <w:rPr>
          <w:szCs w:val="20"/>
        </w:rPr>
        <w:t>Calculate and adjust HHCAHPS Survey data for mode and patient-mix effects prior to publicly reporting survey results; and</w:t>
      </w:r>
    </w:p>
    <w:p w14:paraId="54EEB965" w14:textId="77777777" w:rsidR="00EE74F9" w:rsidRPr="002513B4" w:rsidRDefault="00EE74F9" w:rsidP="008A02ED">
      <w:pPr>
        <w:pStyle w:val="ListBullet"/>
        <w:rPr>
          <w:szCs w:val="20"/>
        </w:rPr>
      </w:pPr>
      <w:r w:rsidRPr="002513B4">
        <w:rPr>
          <w:szCs w:val="20"/>
        </w:rPr>
        <w:t>Generate preview reports containing HHCAHPS Survey results for participating HHAs to review prior to public reporting.</w:t>
      </w:r>
    </w:p>
    <w:p w14:paraId="654B27B6" w14:textId="6AA51E97" w:rsidR="00EE74F9" w:rsidRPr="002513B4" w:rsidRDefault="00545FDE" w:rsidP="00EE74F9">
      <w:pPr>
        <w:pStyle w:val="Heading4"/>
        <w:rPr>
          <w:lang w:val="en-US"/>
        </w:rPr>
      </w:pPr>
      <w:r w:rsidRPr="002513B4">
        <w:rPr>
          <w:lang w:val="en-US"/>
        </w:rPr>
        <w:t>3.</w:t>
      </w:r>
      <w:r w:rsidR="00621153" w:rsidRPr="002513B4">
        <w:rPr>
          <w:lang w:val="en-US"/>
        </w:rPr>
        <w:t>2</w:t>
      </w:r>
      <w:r w:rsidRPr="002513B4">
        <w:rPr>
          <w:lang w:val="en-US"/>
        </w:rPr>
        <w:t>.2</w:t>
      </w:r>
      <w:r w:rsidR="00634CA6">
        <w:rPr>
          <w:lang w:val="en-US"/>
        </w:rPr>
        <w:tab/>
      </w:r>
      <w:r w:rsidR="00EE74F9" w:rsidRPr="002513B4">
        <w:rPr>
          <w:lang w:val="en-US"/>
        </w:rPr>
        <w:t>Home Health Agencies’ Roles and Responsibilities</w:t>
      </w:r>
    </w:p>
    <w:p w14:paraId="0F3F7106" w14:textId="53B5A0AE" w:rsidR="00EE74F9" w:rsidRPr="002513B4" w:rsidRDefault="00EE74F9" w:rsidP="00EE74F9">
      <w:pPr>
        <w:pStyle w:val="BodyText"/>
        <w:rPr>
          <w:szCs w:val="16"/>
          <w:lang w:val="en-US"/>
        </w:rPr>
      </w:pPr>
      <w:r w:rsidRPr="002513B4">
        <w:rPr>
          <w:szCs w:val="16"/>
          <w:lang w:val="en-US"/>
        </w:rPr>
        <w:t xml:space="preserve">It is the responsibility of Medicare-certified HHAs to participate every month in the HHCAHPS Survey to obtain the APU from CMS. </w:t>
      </w:r>
      <w:proofErr w:type="gramStart"/>
      <w:r w:rsidRPr="002513B4">
        <w:rPr>
          <w:szCs w:val="16"/>
          <w:lang w:val="en-US"/>
        </w:rPr>
        <w:t>The majority of</w:t>
      </w:r>
      <w:proofErr w:type="gramEnd"/>
      <w:r w:rsidRPr="002513B4">
        <w:rPr>
          <w:szCs w:val="16"/>
          <w:lang w:val="en-US"/>
        </w:rPr>
        <w:t xml:space="preserve"> HHAs are eligible to participate; however, some may be exempted from participation for a given APU period. The only two scenarios under which a Medicare-certified HHA can be exempted from participation in the HHCAHPS Survey are described below:</w:t>
      </w:r>
    </w:p>
    <w:p w14:paraId="0FDFA8FB" w14:textId="0E1861D0" w:rsidR="00EE74F9" w:rsidRPr="002513B4" w:rsidRDefault="00EE74F9" w:rsidP="008A02ED">
      <w:pPr>
        <w:pStyle w:val="ListBullet"/>
        <w:rPr>
          <w:szCs w:val="20"/>
        </w:rPr>
      </w:pPr>
      <w:r w:rsidRPr="002513B4">
        <w:rPr>
          <w:szCs w:val="20"/>
        </w:rPr>
        <w:t xml:space="preserve">If an HHA received Medicare certification from CMS </w:t>
      </w:r>
      <w:r w:rsidRPr="002513B4">
        <w:rPr>
          <w:b/>
          <w:bCs/>
          <w:i/>
          <w:iCs/>
          <w:szCs w:val="20"/>
        </w:rPr>
        <w:t>after</w:t>
      </w:r>
      <w:r w:rsidRPr="002513B4">
        <w:rPr>
          <w:szCs w:val="20"/>
        </w:rPr>
        <w:t xml:space="preserve"> the cutoff date for a given APU period, it is considered too new to participate in the upcoming APU. </w:t>
      </w:r>
      <w:r w:rsidRPr="002513B4">
        <w:rPr>
          <w:bCs/>
          <w:szCs w:val="20"/>
        </w:rPr>
        <w:t>This is a one-time exemption only</w:t>
      </w:r>
      <w:r w:rsidRPr="002513B4">
        <w:rPr>
          <w:szCs w:val="20"/>
        </w:rPr>
        <w:t>,</w:t>
      </w:r>
      <w:r w:rsidRPr="002513B4">
        <w:rPr>
          <w:b/>
          <w:szCs w:val="20"/>
        </w:rPr>
        <w:t xml:space="preserve"> </w:t>
      </w:r>
      <w:r w:rsidRPr="002513B4">
        <w:rPr>
          <w:bCs/>
          <w:szCs w:val="20"/>
        </w:rPr>
        <w:t>and HHAs do</w:t>
      </w:r>
      <w:r w:rsidRPr="002513B4">
        <w:rPr>
          <w:szCs w:val="20"/>
        </w:rPr>
        <w:t xml:space="preserve"> not need to apply for it. Medicare Certification eligibility cutoff dates and the period that each APU covers are provided in the </w:t>
      </w:r>
      <w:r w:rsidRPr="002513B4">
        <w:rPr>
          <w:rStyle w:val="Emphasis"/>
          <w:szCs w:val="20"/>
        </w:rPr>
        <w:t xml:space="preserve">HH PPS Final Rule </w:t>
      </w:r>
      <w:r w:rsidRPr="002513B4">
        <w:rPr>
          <w:rStyle w:val="Emphasis"/>
          <w:i w:val="0"/>
          <w:szCs w:val="20"/>
        </w:rPr>
        <w:t xml:space="preserve">for each calendar year. As of the date of this version of the </w:t>
      </w:r>
      <w:r w:rsidR="00D1043A" w:rsidRPr="002513B4">
        <w:rPr>
          <w:rStyle w:val="Emphasis"/>
          <w:iCs w:val="0"/>
          <w:szCs w:val="20"/>
        </w:rPr>
        <w:t>P&amp;G</w:t>
      </w:r>
      <w:r w:rsidRPr="002513B4">
        <w:rPr>
          <w:rStyle w:val="Emphasis"/>
          <w:iCs w:val="0"/>
          <w:szCs w:val="20"/>
        </w:rPr>
        <w:t xml:space="preserve"> Manual</w:t>
      </w:r>
      <w:r w:rsidRPr="002513B4">
        <w:rPr>
          <w:rStyle w:val="Emphasis"/>
          <w:i w:val="0"/>
          <w:szCs w:val="20"/>
        </w:rPr>
        <w:t xml:space="preserve">, the most recently published Rule is the HH PPS Final Rule for </w:t>
      </w:r>
      <w:r w:rsidR="00D1043A" w:rsidRPr="002513B4">
        <w:rPr>
          <w:rStyle w:val="Emphasis"/>
          <w:i w:val="0"/>
          <w:szCs w:val="20"/>
        </w:rPr>
        <w:t>CY</w:t>
      </w:r>
      <w:r w:rsidRPr="002513B4">
        <w:rPr>
          <w:rStyle w:val="Emphasis"/>
          <w:i w:val="0"/>
          <w:szCs w:val="20"/>
        </w:rPr>
        <w:t xml:space="preserve"> </w:t>
      </w:r>
      <w:r w:rsidR="0068405D" w:rsidRPr="002513B4">
        <w:rPr>
          <w:rStyle w:val="Emphasis"/>
          <w:i w:val="0"/>
          <w:szCs w:val="20"/>
        </w:rPr>
        <w:t>202</w:t>
      </w:r>
      <w:r w:rsidR="0022401B" w:rsidRPr="002513B4">
        <w:rPr>
          <w:rStyle w:val="Emphasis"/>
          <w:i w:val="0"/>
          <w:szCs w:val="20"/>
        </w:rPr>
        <w:t>6</w:t>
      </w:r>
      <w:r w:rsidRPr="002513B4">
        <w:rPr>
          <w:rStyle w:val="Emphasis"/>
          <w:i w:val="0"/>
          <w:szCs w:val="20"/>
        </w:rPr>
        <w:t>, which</w:t>
      </w:r>
      <w:r w:rsidRPr="002513B4">
        <w:rPr>
          <w:i/>
          <w:szCs w:val="20"/>
        </w:rPr>
        <w:t xml:space="preserve"> </w:t>
      </w:r>
      <w:r w:rsidRPr="002513B4">
        <w:rPr>
          <w:szCs w:val="20"/>
        </w:rPr>
        <w:t>was published in the</w:t>
      </w:r>
      <w:r w:rsidRPr="002513B4">
        <w:rPr>
          <w:rStyle w:val="Emphasis"/>
          <w:szCs w:val="20"/>
        </w:rPr>
        <w:t xml:space="preserve"> Federal Register</w:t>
      </w:r>
      <w:r w:rsidRPr="002513B4">
        <w:rPr>
          <w:szCs w:val="20"/>
        </w:rPr>
        <w:t xml:space="preserve"> on </w:t>
      </w:r>
      <w:r w:rsidR="00114370" w:rsidRPr="002513B4">
        <w:rPr>
          <w:szCs w:val="20"/>
        </w:rPr>
        <w:t>December 2</w:t>
      </w:r>
      <w:r w:rsidRPr="002513B4">
        <w:rPr>
          <w:szCs w:val="20"/>
        </w:rPr>
        <w:t xml:space="preserve">, </w:t>
      </w:r>
      <w:r w:rsidR="00B03F6F" w:rsidRPr="002513B4">
        <w:rPr>
          <w:szCs w:val="20"/>
        </w:rPr>
        <w:t>202</w:t>
      </w:r>
      <w:r w:rsidR="0022401B" w:rsidRPr="002513B4">
        <w:rPr>
          <w:szCs w:val="20"/>
        </w:rPr>
        <w:t>5</w:t>
      </w:r>
      <w:r w:rsidRPr="002513B4">
        <w:rPr>
          <w:szCs w:val="20"/>
        </w:rPr>
        <w:t xml:space="preserve">. A link to the </w:t>
      </w:r>
      <w:r w:rsidR="00DC1594" w:rsidRPr="002513B4">
        <w:rPr>
          <w:szCs w:val="20"/>
        </w:rPr>
        <w:t>Final Rule</w:t>
      </w:r>
      <w:r w:rsidRPr="002513B4">
        <w:rPr>
          <w:szCs w:val="20"/>
        </w:rPr>
        <w:t xml:space="preserve"> is available on the HHCAHPS website.</w:t>
      </w:r>
    </w:p>
    <w:p w14:paraId="126268B2" w14:textId="07A74171" w:rsidR="00EE74F9" w:rsidRPr="002513B4" w:rsidRDefault="00EE74F9" w:rsidP="008A02ED">
      <w:pPr>
        <w:pStyle w:val="ListBullet"/>
        <w:rPr>
          <w:szCs w:val="20"/>
        </w:rPr>
      </w:pPr>
      <w:r w:rsidRPr="002513B4">
        <w:rPr>
          <w:szCs w:val="20"/>
        </w:rPr>
        <w:t xml:space="preserve">If an HHA was certified </w:t>
      </w:r>
      <w:r w:rsidRPr="002513B4">
        <w:rPr>
          <w:b/>
          <w:bCs/>
          <w:i/>
          <w:iCs/>
          <w:szCs w:val="20"/>
        </w:rPr>
        <w:t>before</w:t>
      </w:r>
      <w:r w:rsidRPr="002513B4">
        <w:rPr>
          <w:szCs w:val="20"/>
        </w:rPr>
        <w:t xml:space="preserve"> the cutoff date specified in the HH PPS Rule, that HHA may only receive an exemption if it served 59 or fewer survey-eligible patients during the 12-month period that the APU covers. To request an exemption, an HHA must submit a </w:t>
      </w:r>
      <w:hyperlink r:id="rId54" w:history="1">
        <w:r w:rsidRPr="002513B4">
          <w:rPr>
            <w:rStyle w:val="Hyperlink"/>
            <w:szCs w:val="20"/>
          </w:rPr>
          <w:t>PER form</w:t>
        </w:r>
      </w:hyperlink>
      <w:r w:rsidR="00694441" w:rsidRPr="002513B4">
        <w:t> </w:t>
      </w:r>
      <w:r w:rsidR="00694441" w:rsidRPr="002513B4">
        <w:rPr>
          <w:noProof/>
        </w:rPr>
        <w:drawing>
          <wp:inline distT="0" distB="0" distL="0" distR="0" wp14:anchorId="36863F87" wp14:editId="573FEFB7">
            <wp:extent cx="95250" cy="95250"/>
            <wp:effectExtent l="0" t="0" r="0" b="0"/>
            <wp:docPr id="896665414" name="Graphic 896665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szCs w:val="20"/>
        </w:rPr>
        <w:t xml:space="preserve"> for that APU period through the HHCAHPS website. HHAs must submit a PER for every APU year that they believe they qualify for and wish to seek an exemption from participating in the HHCAHPS Survey.</w:t>
      </w:r>
    </w:p>
    <w:p w14:paraId="64574164" w14:textId="698A5D4B" w:rsidR="00EE74F9" w:rsidRPr="002513B4" w:rsidRDefault="00EE74F9" w:rsidP="00EE74F9">
      <w:pPr>
        <w:pStyle w:val="BodyText"/>
        <w:rPr>
          <w:szCs w:val="16"/>
          <w:lang w:val="en-US"/>
        </w:rPr>
      </w:pPr>
      <w:r w:rsidRPr="002513B4">
        <w:rPr>
          <w:szCs w:val="16"/>
          <w:lang w:val="en-US"/>
        </w:rPr>
        <w:t xml:space="preserve">Each APU has an associated reference count period and participation period that runs from April of one year to March of the following year. The reference count period (which HHAs should use to determine eligibility for the APU) is the year </w:t>
      </w:r>
      <w:r w:rsidRPr="002513B4">
        <w:rPr>
          <w:i/>
          <w:iCs/>
          <w:szCs w:val="16"/>
          <w:lang w:val="en-US"/>
        </w:rPr>
        <w:t>prior to</w:t>
      </w:r>
      <w:r w:rsidRPr="002513B4">
        <w:rPr>
          <w:szCs w:val="16"/>
          <w:lang w:val="en-US"/>
        </w:rPr>
        <w:t xml:space="preserve"> the current APU participation period. More information on participation requirements for the APU is available </w:t>
      </w:r>
      <w:r w:rsidR="007E7E4A" w:rsidRPr="002513B4">
        <w:rPr>
          <w:szCs w:val="16"/>
          <w:lang w:val="en-US"/>
        </w:rPr>
        <w:t xml:space="preserve">in the </w:t>
      </w:r>
      <w:hyperlink r:id="rId55" w:history="1">
        <w:r w:rsidR="007E7E4A" w:rsidRPr="002513B4">
          <w:rPr>
            <w:rStyle w:val="Hyperlink"/>
            <w:szCs w:val="16"/>
            <w:lang w:val="en-US"/>
          </w:rPr>
          <w:t>HHAs Responsibilities and FAQs document</w:t>
        </w:r>
      </w:hyperlink>
      <w:r w:rsidR="00907C8A" w:rsidRPr="002513B4">
        <w:rPr>
          <w:lang w:val="en-US"/>
        </w:rPr>
        <w:t> </w:t>
      </w:r>
      <w:r w:rsidR="00907C8A" w:rsidRPr="002513B4">
        <w:rPr>
          <w:noProof/>
          <w:lang w:val="en-US"/>
        </w:rPr>
        <w:drawing>
          <wp:inline distT="0" distB="0" distL="0" distR="0" wp14:anchorId="7C2A07DE" wp14:editId="737CD8FD">
            <wp:extent cx="95250" cy="95250"/>
            <wp:effectExtent l="0" t="0" r="0" b="0"/>
            <wp:docPr id="1915287710" name="Graphic 1915287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7E7E4A" w:rsidRPr="002513B4">
        <w:rPr>
          <w:szCs w:val="16"/>
          <w:lang w:val="en-US"/>
        </w:rPr>
        <w:t xml:space="preserve"> </w:t>
      </w:r>
      <w:r w:rsidRPr="002513B4">
        <w:rPr>
          <w:szCs w:val="16"/>
          <w:lang w:val="en-US"/>
        </w:rPr>
        <w:t>on the HHCAHPS website</w:t>
      </w:r>
      <w:r w:rsidR="007E7E4A" w:rsidRPr="002513B4">
        <w:rPr>
          <w:szCs w:val="16"/>
          <w:lang w:val="en-US"/>
        </w:rPr>
        <w:t>.</w:t>
      </w:r>
      <w:r w:rsidRPr="002513B4">
        <w:rPr>
          <w:szCs w:val="16"/>
          <w:lang w:val="en-US"/>
        </w:rPr>
        <w:t xml:space="preserve"> </w:t>
      </w:r>
    </w:p>
    <w:p w14:paraId="0274732C" w14:textId="77777777" w:rsidR="00EE74F9" w:rsidRPr="002513B4" w:rsidRDefault="00EE74F9" w:rsidP="00EE74F9">
      <w:pPr>
        <w:pStyle w:val="BodyText"/>
        <w:keepNext/>
        <w:rPr>
          <w:szCs w:val="16"/>
          <w:lang w:val="en-US"/>
        </w:rPr>
      </w:pPr>
      <w:r w:rsidRPr="002513B4">
        <w:rPr>
          <w:szCs w:val="16"/>
          <w:lang w:val="en-US"/>
        </w:rPr>
        <w:t>If an HHA is eligible to participate, it must:</w:t>
      </w:r>
    </w:p>
    <w:p w14:paraId="3A1BF5C6" w14:textId="21189906" w:rsidR="00503196" w:rsidRPr="002513B4" w:rsidRDefault="00503196" w:rsidP="008A02ED">
      <w:pPr>
        <w:pStyle w:val="ListBullet"/>
        <w:rPr>
          <w:szCs w:val="20"/>
        </w:rPr>
      </w:pPr>
      <w:r w:rsidRPr="002513B4">
        <w:rPr>
          <w:szCs w:val="20"/>
        </w:rPr>
        <w:t xml:space="preserve">Designate someone at the agency to serve as the agency’s HHCAHPS Survey Administrator who should complete the online registration process on the HHCAHPS website; </w:t>
      </w:r>
    </w:p>
    <w:p w14:paraId="087ABDC3" w14:textId="55EA1204" w:rsidR="005E4C4A" w:rsidRPr="002513B4" w:rsidRDefault="005E4C4A" w:rsidP="008A02ED">
      <w:pPr>
        <w:pStyle w:val="ListBullet"/>
        <w:rPr>
          <w:szCs w:val="20"/>
        </w:rPr>
      </w:pPr>
      <w:r w:rsidRPr="002513B4">
        <w:rPr>
          <w:szCs w:val="20"/>
        </w:rPr>
        <w:lastRenderedPageBreak/>
        <w:t xml:space="preserve">Designate a back-up administrator </w:t>
      </w:r>
      <w:r w:rsidR="00307C40" w:rsidRPr="002513B4">
        <w:rPr>
          <w:szCs w:val="20"/>
        </w:rPr>
        <w:t>in case the HHCAHPS Survey Administrator is out of the office when HHCAHPS Survey tasks need to be completed;</w:t>
      </w:r>
    </w:p>
    <w:p w14:paraId="48730A4B" w14:textId="2FCF2DC7" w:rsidR="00EE74F9" w:rsidRPr="002513B4" w:rsidRDefault="00EE74F9" w:rsidP="008A02ED">
      <w:pPr>
        <w:pStyle w:val="ListBullet"/>
        <w:rPr>
          <w:szCs w:val="20"/>
        </w:rPr>
      </w:pPr>
      <w:r w:rsidRPr="002513B4">
        <w:rPr>
          <w:szCs w:val="20"/>
        </w:rPr>
        <w:t xml:space="preserve">Contract with an approved HHCAHPS </w:t>
      </w:r>
      <w:r w:rsidR="007F32C2" w:rsidRPr="002513B4">
        <w:rPr>
          <w:szCs w:val="20"/>
        </w:rPr>
        <w:t>S</w:t>
      </w:r>
      <w:r w:rsidRPr="002513B4">
        <w:rPr>
          <w:szCs w:val="20"/>
        </w:rPr>
        <w:t>urvey vendor to conduct its survey;</w:t>
      </w:r>
    </w:p>
    <w:p w14:paraId="005EB8A4" w14:textId="77777777" w:rsidR="00EE74F9" w:rsidRPr="002513B4" w:rsidRDefault="00EE74F9" w:rsidP="008A02ED">
      <w:pPr>
        <w:pStyle w:val="ListBullet"/>
        <w:rPr>
          <w:szCs w:val="20"/>
        </w:rPr>
      </w:pPr>
      <w:r w:rsidRPr="002513B4">
        <w:rPr>
          <w:szCs w:val="20"/>
        </w:rPr>
        <w:t>Authorize the contracted survey vendor to collect and submit HHCAHPS Survey data to the HHCAHPS Survey Data Center on the agency’s behalf;</w:t>
      </w:r>
    </w:p>
    <w:p w14:paraId="4CDE2A71" w14:textId="77777777" w:rsidR="00EE74F9" w:rsidRPr="002513B4" w:rsidRDefault="00EE74F9" w:rsidP="008A02ED">
      <w:pPr>
        <w:pStyle w:val="ListBullet"/>
        <w:rPr>
          <w:szCs w:val="20"/>
        </w:rPr>
      </w:pPr>
      <w:r w:rsidRPr="002513B4">
        <w:rPr>
          <w:szCs w:val="20"/>
        </w:rPr>
        <w:t>Work with its approved vendor to determine a date each month by which the vendor will need the monthly patient information file for sampling and fielding the survey;</w:t>
      </w:r>
    </w:p>
    <w:p w14:paraId="020F1A1B" w14:textId="77777777" w:rsidR="00EE74F9" w:rsidRPr="002513B4" w:rsidRDefault="00EE74F9" w:rsidP="008A02ED">
      <w:pPr>
        <w:pStyle w:val="ListBullet"/>
        <w:rPr>
          <w:szCs w:val="20"/>
        </w:rPr>
      </w:pPr>
      <w:r w:rsidRPr="002513B4">
        <w:rPr>
          <w:szCs w:val="20"/>
        </w:rPr>
        <w:t>By the agreed-upon date each month, compile and deliver to the survey vendor a complete and accurate list of patients (i.e., the monthly patient information file) and information that will enable the vendor to administer the survey;</w:t>
      </w:r>
    </w:p>
    <w:p w14:paraId="186932A3" w14:textId="77777777" w:rsidR="00EE74F9" w:rsidRPr="002513B4" w:rsidRDefault="00EE74F9" w:rsidP="008A02ED">
      <w:pPr>
        <w:pStyle w:val="ListBullet"/>
        <w:rPr>
          <w:szCs w:val="20"/>
        </w:rPr>
      </w:pPr>
      <w:r w:rsidRPr="002513B4">
        <w:rPr>
          <w:szCs w:val="20"/>
        </w:rPr>
        <w:t xml:space="preserve">Use a secure method to transmit monthly patient information files to the survey vendor, ensuring that data are </w:t>
      </w:r>
      <w:r w:rsidRPr="002513B4">
        <w:rPr>
          <w:b/>
          <w:bCs/>
          <w:szCs w:val="20"/>
        </w:rPr>
        <w:t>encrypted</w:t>
      </w:r>
      <w:r w:rsidRPr="002513B4">
        <w:rPr>
          <w:szCs w:val="20"/>
        </w:rPr>
        <w:t xml:space="preserve"> prior to sending to the vendor;</w:t>
      </w:r>
    </w:p>
    <w:p w14:paraId="16C84CDE" w14:textId="77777777" w:rsidR="00EE74F9" w:rsidRPr="002513B4" w:rsidRDefault="00EE74F9" w:rsidP="008A02ED">
      <w:pPr>
        <w:pStyle w:val="ListBullet"/>
        <w:rPr>
          <w:szCs w:val="20"/>
        </w:rPr>
      </w:pPr>
      <w:bookmarkStart w:id="87" w:name="_Hlk89942679"/>
      <w:r w:rsidRPr="002513B4">
        <w:rPr>
          <w:szCs w:val="20"/>
        </w:rPr>
        <w:t xml:space="preserve">Review data submission reports </w:t>
      </w:r>
      <w:r w:rsidR="009941F0" w:rsidRPr="002513B4">
        <w:rPr>
          <w:szCs w:val="20"/>
        </w:rPr>
        <w:t xml:space="preserve">on the HHCAHPS Survey website </w:t>
      </w:r>
      <w:r w:rsidRPr="002513B4">
        <w:rPr>
          <w:szCs w:val="20"/>
        </w:rPr>
        <w:t>to</w:t>
      </w:r>
      <w:r w:rsidR="009941F0" w:rsidRPr="002513B4">
        <w:rPr>
          <w:szCs w:val="20"/>
        </w:rPr>
        <w:t xml:space="preserve"> confirm</w:t>
      </w:r>
      <w:r w:rsidRPr="002513B4">
        <w:rPr>
          <w:szCs w:val="20"/>
        </w:rPr>
        <w:t xml:space="preserve"> that its survey vendor has submitted data on time</w:t>
      </w:r>
      <w:bookmarkEnd w:id="87"/>
      <w:r w:rsidRPr="002513B4">
        <w:rPr>
          <w:szCs w:val="20"/>
        </w:rPr>
        <w:t>;</w:t>
      </w:r>
    </w:p>
    <w:p w14:paraId="1D39AD3A" w14:textId="1CD9E38B" w:rsidR="00EE74F9" w:rsidRPr="002513B4" w:rsidRDefault="00EE74F9" w:rsidP="008A02ED">
      <w:pPr>
        <w:pStyle w:val="ListBullet"/>
        <w:rPr>
          <w:szCs w:val="20"/>
        </w:rPr>
      </w:pPr>
      <w:r w:rsidRPr="002513B4">
        <w:rPr>
          <w:szCs w:val="20"/>
        </w:rPr>
        <w:t xml:space="preserve">Review HHCAHPS Survey results </w:t>
      </w:r>
      <w:r w:rsidR="00CA12DE" w:rsidRPr="002513B4">
        <w:rPr>
          <w:szCs w:val="20"/>
        </w:rPr>
        <w:t xml:space="preserve">on the HHCAHPS Survey website </w:t>
      </w:r>
      <w:r w:rsidRPr="002513B4">
        <w:rPr>
          <w:szCs w:val="20"/>
        </w:rPr>
        <w:t>prior to public reporting;</w:t>
      </w:r>
    </w:p>
    <w:p w14:paraId="48B755F9" w14:textId="1E204D0C" w:rsidR="00EE74F9" w:rsidRPr="002513B4" w:rsidRDefault="00EE74F9" w:rsidP="008A02ED">
      <w:pPr>
        <w:pStyle w:val="ListBullet"/>
        <w:rPr>
          <w:szCs w:val="20"/>
        </w:rPr>
      </w:pPr>
      <w:r w:rsidRPr="002513B4">
        <w:rPr>
          <w:szCs w:val="20"/>
        </w:rPr>
        <w:t xml:space="preserve">Avoid influencing patients in any way about how to answer the HHCAHPS Survey; for example, HHAs may not hand out any information to patients about how to answer the survey (please refer to </w:t>
      </w:r>
      <w:r w:rsidR="00CA12DE" w:rsidRPr="002513B4">
        <w:rPr>
          <w:b/>
          <w:bCs/>
          <w:i/>
          <w:iCs/>
          <w:szCs w:val="20"/>
        </w:rPr>
        <w:t>S</w:t>
      </w:r>
      <w:r w:rsidRPr="002513B4">
        <w:rPr>
          <w:b/>
          <w:bCs/>
          <w:i/>
          <w:iCs/>
          <w:szCs w:val="20"/>
        </w:rPr>
        <w:t>ection</w:t>
      </w:r>
      <w:r w:rsidR="00CA12DE" w:rsidRPr="002513B4">
        <w:rPr>
          <w:b/>
          <w:bCs/>
          <w:i/>
          <w:iCs/>
          <w:szCs w:val="20"/>
        </w:rPr>
        <w:t xml:space="preserve"> 3.2.2.1</w:t>
      </w:r>
      <w:r w:rsidR="00CA12DE" w:rsidRPr="002513B4">
        <w:rPr>
          <w:szCs w:val="20"/>
        </w:rPr>
        <w:t xml:space="preserve"> below</w:t>
      </w:r>
      <w:r w:rsidRPr="002513B4">
        <w:rPr>
          <w:szCs w:val="20"/>
        </w:rPr>
        <w:t>); and</w:t>
      </w:r>
    </w:p>
    <w:p w14:paraId="3C6A0B5F" w14:textId="5979C3F9" w:rsidR="00EE74F9" w:rsidRPr="002513B4" w:rsidRDefault="00EE74F9" w:rsidP="008A02ED">
      <w:pPr>
        <w:pStyle w:val="ListBullet"/>
        <w:rPr>
          <w:rStyle w:val="Emphasis"/>
          <w:szCs w:val="20"/>
        </w:rPr>
      </w:pPr>
      <w:r w:rsidRPr="002513B4">
        <w:rPr>
          <w:szCs w:val="20"/>
        </w:rPr>
        <w:t xml:space="preserve">Understand the APUs, including key date ranges and deadline dates; again, information about APU </w:t>
      </w:r>
      <w:r w:rsidR="007F32C2" w:rsidRPr="002513B4">
        <w:rPr>
          <w:szCs w:val="20"/>
        </w:rPr>
        <w:t>p</w:t>
      </w:r>
      <w:r w:rsidRPr="002513B4">
        <w:rPr>
          <w:szCs w:val="20"/>
        </w:rPr>
        <w:t xml:space="preserve">eriods and Medicare Certification eligibility cutoff dates is provided in the </w:t>
      </w:r>
      <w:r w:rsidRPr="002513B4">
        <w:rPr>
          <w:rStyle w:val="Emphasis"/>
          <w:szCs w:val="20"/>
        </w:rPr>
        <w:t xml:space="preserve">HH PPS Final Rule </w:t>
      </w:r>
      <w:r w:rsidRPr="002513B4">
        <w:rPr>
          <w:rStyle w:val="Emphasis"/>
          <w:i w:val="0"/>
          <w:iCs w:val="0"/>
          <w:szCs w:val="20"/>
        </w:rPr>
        <w:t>for each calendar year</w:t>
      </w:r>
      <w:r w:rsidRPr="002513B4">
        <w:rPr>
          <w:rStyle w:val="Emphasis"/>
          <w:szCs w:val="20"/>
        </w:rPr>
        <w:t>.</w:t>
      </w:r>
    </w:p>
    <w:p w14:paraId="4B431427" w14:textId="43B65AB6" w:rsidR="00EE74F9" w:rsidRPr="002513B4" w:rsidRDefault="00545FDE" w:rsidP="00EE74F9">
      <w:pPr>
        <w:pStyle w:val="Heading5"/>
      </w:pPr>
      <w:r w:rsidRPr="002513B4">
        <w:t>3.</w:t>
      </w:r>
      <w:r w:rsidR="00621153" w:rsidRPr="002513B4">
        <w:t>2</w:t>
      </w:r>
      <w:r w:rsidRPr="002513B4">
        <w:t>.2.1</w:t>
      </w:r>
      <w:r w:rsidR="00DF6CE1">
        <w:tab/>
      </w:r>
      <w:r w:rsidR="00EE74F9" w:rsidRPr="002513B4">
        <w:t xml:space="preserve">Communications </w:t>
      </w:r>
      <w:r w:rsidR="00724C24" w:rsidRPr="002513B4">
        <w:t>w</w:t>
      </w:r>
      <w:r w:rsidR="00EE74F9" w:rsidRPr="002513B4">
        <w:t>ith Patients About the HHCAHPS Survey</w:t>
      </w:r>
    </w:p>
    <w:p w14:paraId="6768F16F" w14:textId="55FA035B" w:rsidR="007A6CC4" w:rsidRPr="002513B4" w:rsidRDefault="00EE74F9" w:rsidP="00187D4C">
      <w:pPr>
        <w:pStyle w:val="BodyText"/>
        <w:rPr>
          <w:szCs w:val="16"/>
          <w:lang w:val="en-US"/>
        </w:rPr>
      </w:pPr>
      <w:r w:rsidRPr="002513B4">
        <w:rPr>
          <w:szCs w:val="16"/>
          <w:lang w:val="en-US"/>
        </w:rPr>
        <w:t xml:space="preserve">Because home health patients may be sicker and more vulnerable than other patient populations and they receive care from the home health provider in their homes, they may be more susceptible to actions that may influence their responses to the HHCAHPS Survey. Any information or communication about the survey from HHAs may introduce bias to the survey. It is acceptable for HHAs to inform patients during their next scheduled assessment that they may be asked to respond to a patient experience survey </w:t>
      </w:r>
      <w:proofErr w:type="gramStart"/>
      <w:r w:rsidRPr="002513B4">
        <w:rPr>
          <w:szCs w:val="16"/>
          <w:lang w:val="en-US"/>
        </w:rPr>
        <w:t>as long as</w:t>
      </w:r>
      <w:proofErr w:type="gramEnd"/>
      <w:r w:rsidRPr="002513B4">
        <w:rPr>
          <w:szCs w:val="16"/>
          <w:lang w:val="en-US"/>
        </w:rPr>
        <w:t xml:space="preserve"> </w:t>
      </w:r>
      <w:r w:rsidRPr="002513B4">
        <w:rPr>
          <w:b/>
          <w:bCs/>
          <w:i/>
          <w:iCs/>
          <w:szCs w:val="16"/>
          <w:lang w:val="en-US"/>
        </w:rPr>
        <w:t>all</w:t>
      </w:r>
      <w:r w:rsidRPr="002513B4">
        <w:rPr>
          <w:szCs w:val="16"/>
          <w:lang w:val="en-US"/>
        </w:rPr>
        <w:t xml:space="preserve"> patients are notified in this way.</w:t>
      </w:r>
      <w:r w:rsidR="006B0EEC" w:rsidRPr="002513B4">
        <w:rPr>
          <w:szCs w:val="16"/>
          <w:lang w:val="en-US"/>
        </w:rPr>
        <w:t xml:space="preserve"> An official </w:t>
      </w:r>
      <w:hyperlink r:id="rId56" w:history="1">
        <w:r w:rsidR="006B0EEC" w:rsidRPr="002513B4">
          <w:rPr>
            <w:rStyle w:val="Hyperlink"/>
            <w:szCs w:val="16"/>
            <w:lang w:val="en-US"/>
          </w:rPr>
          <w:t>HHCAHPS fact sheet</w:t>
        </w:r>
      </w:hyperlink>
      <w:r w:rsidR="00907C8A" w:rsidRPr="002513B4">
        <w:rPr>
          <w:lang w:val="en-US"/>
        </w:rPr>
        <w:t> </w:t>
      </w:r>
      <w:r w:rsidR="00907C8A" w:rsidRPr="002513B4">
        <w:rPr>
          <w:noProof/>
          <w:lang w:val="en-US"/>
        </w:rPr>
        <w:drawing>
          <wp:inline distT="0" distB="0" distL="0" distR="0" wp14:anchorId="1E6DFA5F" wp14:editId="7C2AC2BC">
            <wp:extent cx="95250" cy="95250"/>
            <wp:effectExtent l="0" t="0" r="0" b="0"/>
            <wp:docPr id="2055913494" name="Graphic 20559134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6B0EEC" w:rsidRPr="002513B4">
        <w:rPr>
          <w:szCs w:val="16"/>
          <w:lang w:val="en-US"/>
        </w:rPr>
        <w:t xml:space="preserve"> is available in English and Spanish on the HHCAHPS website </w:t>
      </w:r>
      <w:r w:rsidR="00011EC9" w:rsidRPr="002513B4">
        <w:rPr>
          <w:szCs w:val="16"/>
          <w:lang w:val="en-US"/>
        </w:rPr>
        <w:t xml:space="preserve">for this purpose. </w:t>
      </w:r>
    </w:p>
    <w:p w14:paraId="4003244A" w14:textId="77777777" w:rsidR="0067341A" w:rsidRPr="002513B4" w:rsidRDefault="00011EC9" w:rsidP="00187D4C">
      <w:pPr>
        <w:pStyle w:val="BodyText"/>
        <w:rPr>
          <w:szCs w:val="16"/>
          <w:lang w:val="en-US"/>
        </w:rPr>
      </w:pPr>
      <w:r w:rsidRPr="002513B4">
        <w:rPr>
          <w:szCs w:val="16"/>
          <w:lang w:val="en-US"/>
        </w:rPr>
        <w:t>Participating agencies are strongly encouraged to include the HHCAHPS fact sheet in the initial patient information packet so that patients are aware of the survey and its importance</w:t>
      </w:r>
      <w:r w:rsidR="007A6CC4" w:rsidRPr="002513B4">
        <w:rPr>
          <w:szCs w:val="16"/>
          <w:lang w:val="en-US"/>
        </w:rPr>
        <w:t xml:space="preserve">, and CMS recommends that HHCAHPS Survey vendors discuss with their client agencies using this fact sheet to help improve patient participation in the survey. </w:t>
      </w:r>
      <w:r w:rsidR="0067341A" w:rsidRPr="002513B4">
        <w:rPr>
          <w:szCs w:val="16"/>
          <w:lang w:val="en-US"/>
        </w:rPr>
        <w:t xml:space="preserve">Agencies </w:t>
      </w:r>
      <w:r w:rsidR="007A6CC4" w:rsidRPr="002513B4">
        <w:rPr>
          <w:szCs w:val="16"/>
          <w:lang w:val="en-US"/>
        </w:rPr>
        <w:t>are permitted to personalize the fact sheet with</w:t>
      </w:r>
      <w:r w:rsidR="0067341A" w:rsidRPr="002513B4">
        <w:rPr>
          <w:szCs w:val="16"/>
          <w:lang w:val="en-US"/>
        </w:rPr>
        <w:t xml:space="preserve"> the agency name, vendor’s name, agency’s logo, and vendor’s or CMS logo.</w:t>
      </w:r>
    </w:p>
    <w:p w14:paraId="5393F31D" w14:textId="77777777" w:rsidR="00EE74F9" w:rsidRPr="002513B4" w:rsidRDefault="00EE74F9" w:rsidP="00EE74F9">
      <w:pPr>
        <w:pStyle w:val="BodyText"/>
        <w:keepNext/>
        <w:rPr>
          <w:szCs w:val="16"/>
          <w:lang w:val="en-US"/>
        </w:rPr>
      </w:pPr>
      <w:r w:rsidRPr="002513B4">
        <w:rPr>
          <w:szCs w:val="16"/>
          <w:lang w:val="en-US"/>
        </w:rPr>
        <w:lastRenderedPageBreak/>
        <w:t xml:space="preserve">It is </w:t>
      </w:r>
      <w:r w:rsidRPr="002513B4">
        <w:rPr>
          <w:b/>
          <w:bCs/>
          <w:szCs w:val="16"/>
          <w:lang w:val="en-US"/>
        </w:rPr>
        <w:t xml:space="preserve">not </w:t>
      </w:r>
      <w:r w:rsidRPr="002513B4">
        <w:rPr>
          <w:szCs w:val="16"/>
          <w:lang w:val="en-US"/>
        </w:rPr>
        <w:t>acceptable, however, for an HHA to do the following:</w:t>
      </w:r>
    </w:p>
    <w:p w14:paraId="6DE27D45" w14:textId="62B00FF5" w:rsidR="00EE74F9" w:rsidRPr="002513B4" w:rsidRDefault="00EE74F9" w:rsidP="008A02ED">
      <w:pPr>
        <w:pStyle w:val="ListBullet"/>
        <w:rPr>
          <w:szCs w:val="20"/>
        </w:rPr>
      </w:pPr>
      <w:r w:rsidRPr="002513B4">
        <w:rPr>
          <w:szCs w:val="20"/>
        </w:rPr>
        <w:t>Mail or email information to</w:t>
      </w:r>
      <w:r w:rsidR="000A72D2" w:rsidRPr="002513B4">
        <w:rPr>
          <w:szCs w:val="20"/>
        </w:rPr>
        <w:t xml:space="preserve"> a subset of</w:t>
      </w:r>
      <w:r w:rsidRPr="002513B4">
        <w:rPr>
          <w:szCs w:val="20"/>
        </w:rPr>
        <w:t xml:space="preserve"> patients in advance alerting them about the survey, other than the information provided to all patients;</w:t>
      </w:r>
    </w:p>
    <w:p w14:paraId="24ECA2D3" w14:textId="77777777" w:rsidR="00EE74F9" w:rsidRPr="002513B4" w:rsidRDefault="00EE74F9" w:rsidP="008A02ED">
      <w:pPr>
        <w:pStyle w:val="ListBullet"/>
        <w:rPr>
          <w:szCs w:val="20"/>
        </w:rPr>
      </w:pPr>
      <w:r w:rsidRPr="002513B4">
        <w:rPr>
          <w:szCs w:val="20"/>
        </w:rPr>
        <w:t>Provide a copy of the HHCAHPS Survey questionnaire or cover letters to the patients;</w:t>
      </w:r>
    </w:p>
    <w:p w14:paraId="252F3BB7" w14:textId="77777777" w:rsidR="00EE74F9" w:rsidRPr="002513B4" w:rsidRDefault="00EE74F9" w:rsidP="008A02ED">
      <w:pPr>
        <w:pStyle w:val="ListBullet"/>
        <w:rPr>
          <w:szCs w:val="20"/>
        </w:rPr>
      </w:pPr>
      <w:r w:rsidRPr="002513B4">
        <w:rPr>
          <w:szCs w:val="20"/>
        </w:rPr>
        <w:t>Include words or phrases verbatim from the HHCAHPS Survey in its marketing or promotional materials (CMS is encouraging HHAs not to use text from HHCAHPS questions in their marketing and promotional materials);</w:t>
      </w:r>
    </w:p>
    <w:p w14:paraId="2012A4C3" w14:textId="77777777" w:rsidR="00EE74F9" w:rsidRPr="002513B4" w:rsidRDefault="00EE74F9" w:rsidP="008A02ED">
      <w:pPr>
        <w:pStyle w:val="ListBullet"/>
        <w:rPr>
          <w:szCs w:val="20"/>
        </w:rPr>
      </w:pPr>
      <w:r w:rsidRPr="002513B4">
        <w:rPr>
          <w:szCs w:val="20"/>
        </w:rPr>
        <w:t>Attempt to influence their patients’ answers to the HHCAHPS Survey questions;</w:t>
      </w:r>
    </w:p>
    <w:p w14:paraId="0647990C" w14:textId="77777777" w:rsidR="00EE74F9" w:rsidRPr="002513B4" w:rsidRDefault="00EE74F9" w:rsidP="008A02ED">
      <w:pPr>
        <w:pStyle w:val="ListBullet"/>
        <w:rPr>
          <w:szCs w:val="20"/>
        </w:rPr>
      </w:pPr>
      <w:r w:rsidRPr="002513B4">
        <w:rPr>
          <w:szCs w:val="20"/>
        </w:rPr>
        <w:t>Tell the patients that the agency hopes or expects that its patients will give it the best or highest rating or to respond in a certain way to the survey questions;</w:t>
      </w:r>
    </w:p>
    <w:p w14:paraId="03C70A6D" w14:textId="77777777" w:rsidR="00EE74F9" w:rsidRPr="002513B4" w:rsidRDefault="00EE74F9" w:rsidP="008A02ED">
      <w:pPr>
        <w:pStyle w:val="ListBullet"/>
        <w:rPr>
          <w:szCs w:val="20"/>
        </w:rPr>
      </w:pPr>
      <w:r w:rsidRPr="002513B4">
        <w:rPr>
          <w:szCs w:val="20"/>
        </w:rPr>
        <w:t>Offer incentives of any kind to the patients for participating (or not) in the survey;</w:t>
      </w:r>
    </w:p>
    <w:p w14:paraId="05E79965" w14:textId="77777777" w:rsidR="00EE74F9" w:rsidRPr="002513B4" w:rsidRDefault="00EE74F9" w:rsidP="008A02ED">
      <w:pPr>
        <w:pStyle w:val="ListBullet"/>
        <w:rPr>
          <w:szCs w:val="20"/>
        </w:rPr>
      </w:pPr>
      <w:r w:rsidRPr="002513B4">
        <w:rPr>
          <w:szCs w:val="20"/>
        </w:rPr>
        <w:t>Help the patient answer the survey questions, even if the patient asks for the home care provider’s help;</w:t>
      </w:r>
    </w:p>
    <w:p w14:paraId="20F46819" w14:textId="77777777" w:rsidR="00EE74F9" w:rsidRPr="002513B4" w:rsidRDefault="00EE74F9" w:rsidP="008A02ED">
      <w:pPr>
        <w:pStyle w:val="ListBullet"/>
        <w:rPr>
          <w:szCs w:val="20"/>
        </w:rPr>
      </w:pPr>
      <w:r w:rsidRPr="002513B4">
        <w:rPr>
          <w:szCs w:val="20"/>
        </w:rPr>
        <w:t>Ask patients why they gave a certain response or rating to any of the HHCAHPS Survey questions; and</w:t>
      </w:r>
    </w:p>
    <w:p w14:paraId="5B4A4798" w14:textId="77777777" w:rsidR="00EE74F9" w:rsidRPr="002513B4" w:rsidRDefault="00EE74F9" w:rsidP="008A02ED">
      <w:pPr>
        <w:pStyle w:val="ListBullet"/>
        <w:rPr>
          <w:szCs w:val="20"/>
        </w:rPr>
      </w:pPr>
      <w:r w:rsidRPr="002513B4">
        <w:rPr>
          <w:szCs w:val="20"/>
        </w:rPr>
        <w:t>Include any messages or materials promoting the HHA or the services it provides in survey materials, including</w:t>
      </w:r>
      <w:r w:rsidR="00CD3031" w:rsidRPr="002513B4">
        <w:rPr>
          <w:szCs w:val="20"/>
        </w:rPr>
        <w:t xml:space="preserve"> but not limited to</w:t>
      </w:r>
      <w:r w:rsidRPr="002513B4">
        <w:rPr>
          <w:szCs w:val="20"/>
        </w:rPr>
        <w:t xml:space="preserve"> mail survey cover letters and questionnaires and telephone interview scripts.</w:t>
      </w:r>
    </w:p>
    <w:p w14:paraId="4BA97B1E" w14:textId="77777777" w:rsidR="00EE74F9" w:rsidRPr="002513B4" w:rsidRDefault="00EE74F9" w:rsidP="00EE74F9">
      <w:pPr>
        <w:pStyle w:val="BodyText"/>
        <w:rPr>
          <w:szCs w:val="16"/>
          <w:lang w:val="en-US"/>
        </w:rPr>
      </w:pPr>
      <w:r w:rsidRPr="002513B4">
        <w:rPr>
          <w:szCs w:val="16"/>
          <w:lang w:val="en-US"/>
        </w:rPr>
        <w:t>HHAs should never ask their patients if they would like to be included in the survey. All patients selected to participate in the HHCAHPS Survey must be able to decide on their own whether they wish to participate and will be provided an opportunity to do so as part of the survey process.</w:t>
      </w:r>
    </w:p>
    <w:p w14:paraId="3FE51320" w14:textId="5B5FB3CF" w:rsidR="00EE74F9" w:rsidRPr="002513B4" w:rsidRDefault="00545FDE" w:rsidP="00EE74F9">
      <w:pPr>
        <w:pStyle w:val="Heading5"/>
      </w:pPr>
      <w:r w:rsidRPr="002513B4">
        <w:t>3.</w:t>
      </w:r>
      <w:r w:rsidR="00621153" w:rsidRPr="002513B4">
        <w:t>2</w:t>
      </w:r>
      <w:r w:rsidRPr="002513B4">
        <w:t>.2.2</w:t>
      </w:r>
      <w:r w:rsidR="00DF6CE1">
        <w:tab/>
      </w:r>
      <w:r w:rsidR="00EE74F9" w:rsidRPr="002513B4">
        <w:t xml:space="preserve">Administering HHCAHPS in Conjunction </w:t>
      </w:r>
      <w:r w:rsidR="00D1043A" w:rsidRPr="002513B4">
        <w:t>with</w:t>
      </w:r>
      <w:r w:rsidR="00EE74F9" w:rsidRPr="002513B4">
        <w:t xml:space="preserve"> Other Surveys</w:t>
      </w:r>
    </w:p>
    <w:p w14:paraId="521B9BAC" w14:textId="77777777" w:rsidR="00EE74F9" w:rsidRPr="002513B4" w:rsidRDefault="00EE74F9" w:rsidP="00EE74F9">
      <w:pPr>
        <w:pStyle w:val="BodyText"/>
        <w:rPr>
          <w:szCs w:val="16"/>
          <w:lang w:val="en-US"/>
        </w:rPr>
      </w:pPr>
      <w:r w:rsidRPr="002513B4">
        <w:rPr>
          <w:szCs w:val="16"/>
          <w:lang w:val="en-US"/>
        </w:rPr>
        <w:t>Some HHAs may wish to conduct other patient surveys to support internal quality improvement activities. A “survey,” for purposes of this project, is defined as a formal, HHCAHPS-like, patient experience</w:t>
      </w:r>
      <w:r w:rsidR="00CA59D3" w:rsidRPr="002513B4">
        <w:rPr>
          <w:szCs w:val="16"/>
          <w:lang w:val="en-US"/>
        </w:rPr>
        <w:t xml:space="preserve"> or </w:t>
      </w:r>
      <w:r w:rsidRPr="002513B4">
        <w:rPr>
          <w:szCs w:val="16"/>
          <w:lang w:val="en-US"/>
        </w:rPr>
        <w:t>satisfaction survey. A formal survey, regardless of the data collection mode employed, is one in which the primary goal is to ask standardized questions of a sample of the HHA’s patient population. Contacting patients to assess their care at any time or calling a patient to check on services received are both considered to be routine patient contacts, not surveys.</w:t>
      </w:r>
    </w:p>
    <w:p w14:paraId="083008A7" w14:textId="3351DE6B" w:rsidR="00EE74F9" w:rsidRPr="002513B4" w:rsidRDefault="00EE74F9" w:rsidP="00EE74F9">
      <w:pPr>
        <w:pStyle w:val="BodyText"/>
        <w:rPr>
          <w:szCs w:val="16"/>
          <w:lang w:val="en-US"/>
        </w:rPr>
      </w:pPr>
      <w:r w:rsidRPr="002513B4">
        <w:rPr>
          <w:szCs w:val="16"/>
          <w:lang w:val="en-US"/>
        </w:rPr>
        <w:t xml:space="preserve">To </w:t>
      </w:r>
      <w:r w:rsidR="00963F67" w:rsidRPr="002513B4">
        <w:rPr>
          <w:szCs w:val="16"/>
          <w:lang w:val="en-US"/>
        </w:rPr>
        <w:t xml:space="preserve">verify </w:t>
      </w:r>
      <w:r w:rsidRPr="002513B4">
        <w:rPr>
          <w:szCs w:val="16"/>
          <w:lang w:val="en-US"/>
        </w:rPr>
        <w:t>that valid data are collected on the HHCAHPS Survey</w:t>
      </w:r>
      <w:r w:rsidR="00816E0D" w:rsidRPr="002513B4">
        <w:rPr>
          <w:szCs w:val="16"/>
          <w:lang w:val="en-US"/>
        </w:rPr>
        <w:t>,</w:t>
      </w:r>
      <w:r w:rsidRPr="002513B4">
        <w:rPr>
          <w:szCs w:val="16"/>
          <w:lang w:val="en-US"/>
        </w:rPr>
        <w:t xml:space="preserve"> and that the data collected represent patients’ perspectives of the home health care they receive, HHAs should use the following guidelines when administering other surveys in conjunction with HHCAHPS:</w:t>
      </w:r>
    </w:p>
    <w:p w14:paraId="35C8A91D" w14:textId="12F44DE9" w:rsidR="00EE74F9" w:rsidRPr="002513B4" w:rsidRDefault="00EE74F9" w:rsidP="00F067F5">
      <w:pPr>
        <w:pStyle w:val="ListBullet"/>
        <w:rPr>
          <w:szCs w:val="20"/>
        </w:rPr>
      </w:pPr>
      <w:r w:rsidRPr="002513B4">
        <w:rPr>
          <w:szCs w:val="20"/>
        </w:rPr>
        <w:t xml:space="preserve">For each sample month, the HHCAHPS Survey </w:t>
      </w:r>
      <w:r w:rsidRPr="002513B4">
        <w:rPr>
          <w:i/>
          <w:iCs/>
          <w:szCs w:val="20"/>
        </w:rPr>
        <w:t xml:space="preserve">sample </w:t>
      </w:r>
      <w:r w:rsidR="00653592" w:rsidRPr="002513B4">
        <w:rPr>
          <w:szCs w:val="20"/>
        </w:rPr>
        <w:t xml:space="preserve">should </w:t>
      </w:r>
      <w:r w:rsidRPr="002513B4">
        <w:rPr>
          <w:szCs w:val="20"/>
        </w:rPr>
        <w:t>be selected prior to selecting the samples for any other HHA survey.</w:t>
      </w:r>
    </w:p>
    <w:p w14:paraId="6E0C8B15" w14:textId="77777777" w:rsidR="00EE74F9" w:rsidRPr="002513B4" w:rsidRDefault="00EE74F9" w:rsidP="00F067F5">
      <w:pPr>
        <w:pStyle w:val="ListBullet"/>
        <w:rPr>
          <w:szCs w:val="20"/>
        </w:rPr>
      </w:pPr>
      <w:r w:rsidRPr="002513B4">
        <w:rPr>
          <w:szCs w:val="20"/>
        </w:rPr>
        <w:lastRenderedPageBreak/>
        <w:t>In other surveys that an HHA conducts, the agency can include questions that ask for more in-depth information about HHCAHPS issues but should not repeat the HHCAHPS questions or include questions that are very similar.</w:t>
      </w:r>
    </w:p>
    <w:p w14:paraId="7240A4C1" w14:textId="77777777" w:rsidR="00EE74F9" w:rsidRPr="002513B4" w:rsidRDefault="00EE74F9" w:rsidP="00F067F5">
      <w:pPr>
        <w:pStyle w:val="ListBullet"/>
        <w:rPr>
          <w:szCs w:val="20"/>
        </w:rPr>
      </w:pPr>
      <w:r w:rsidRPr="002513B4">
        <w:rPr>
          <w:szCs w:val="20"/>
        </w:rPr>
        <w:t>HHAs may not ask their patients why they gave a certain response or rating to any of the HHCAHPS Survey questions.</w:t>
      </w:r>
    </w:p>
    <w:p w14:paraId="34FD7155" w14:textId="39B6125F" w:rsidR="00EE74F9" w:rsidRPr="002513B4" w:rsidRDefault="00EE74F9" w:rsidP="00EE74F9">
      <w:pPr>
        <w:pStyle w:val="BodyText"/>
        <w:keepNext/>
        <w:rPr>
          <w:szCs w:val="16"/>
          <w:lang w:val="en-US"/>
        </w:rPr>
      </w:pPr>
      <w:r w:rsidRPr="002513B4">
        <w:rPr>
          <w:szCs w:val="16"/>
          <w:lang w:val="en-US"/>
        </w:rPr>
        <w:t xml:space="preserve">The following are some examples of the types of questions that should </w:t>
      </w:r>
      <w:r w:rsidRPr="002513B4">
        <w:rPr>
          <w:b/>
          <w:bCs/>
          <w:szCs w:val="16"/>
          <w:lang w:val="en-US"/>
        </w:rPr>
        <w:t>not</w:t>
      </w:r>
      <w:r w:rsidRPr="002513B4">
        <w:rPr>
          <w:szCs w:val="16"/>
          <w:lang w:val="en-US"/>
        </w:rPr>
        <w:t xml:space="preserve"> be included in any other surveys the agency conducts:</w:t>
      </w:r>
      <w:r w:rsidR="005B3988" w:rsidRPr="002513B4">
        <w:rPr>
          <w:rStyle w:val="FootnoteReference"/>
          <w:rFonts w:ascii="Verdana" w:hAnsi="Verdana"/>
          <w:sz w:val="20"/>
          <w:szCs w:val="16"/>
          <w:lang w:val="en-US"/>
        </w:rPr>
        <w:footnoteReference w:id="6"/>
      </w:r>
    </w:p>
    <w:p w14:paraId="79F18F09" w14:textId="21D23541" w:rsidR="00EE74F9" w:rsidRPr="002513B4" w:rsidRDefault="00EE74F9" w:rsidP="00F067F5">
      <w:pPr>
        <w:pStyle w:val="ListBullet"/>
        <w:rPr>
          <w:szCs w:val="20"/>
        </w:rPr>
      </w:pPr>
      <w:r w:rsidRPr="002513B4">
        <w:rPr>
          <w:szCs w:val="20"/>
        </w:rPr>
        <w:t xml:space="preserve">“Did the home health agency office answer all of your questions?” (This question is </w:t>
      </w:r>
      <w:proofErr w:type="gramStart"/>
      <w:r w:rsidRPr="002513B4">
        <w:rPr>
          <w:szCs w:val="20"/>
        </w:rPr>
        <w:t>similar to</w:t>
      </w:r>
      <w:proofErr w:type="gramEnd"/>
      <w:r w:rsidRPr="002513B4">
        <w:rPr>
          <w:szCs w:val="20"/>
        </w:rPr>
        <w:t xml:space="preserve"> Q</w:t>
      </w:r>
      <w:r w:rsidR="005B3988" w:rsidRPr="002513B4">
        <w:rPr>
          <w:szCs w:val="20"/>
        </w:rPr>
        <w:t>16</w:t>
      </w:r>
      <w:r w:rsidRPr="002513B4">
        <w:rPr>
          <w:szCs w:val="20"/>
        </w:rPr>
        <w:t xml:space="preserve"> in the HHCAHPS Survey.)</w:t>
      </w:r>
    </w:p>
    <w:p w14:paraId="43093F36" w14:textId="1851B863" w:rsidR="00EE74F9" w:rsidRPr="002513B4" w:rsidRDefault="00EE74F9" w:rsidP="00F067F5">
      <w:pPr>
        <w:pStyle w:val="ListBullet"/>
        <w:rPr>
          <w:szCs w:val="20"/>
        </w:rPr>
      </w:pPr>
      <w:r w:rsidRPr="002513B4">
        <w:rPr>
          <w:szCs w:val="20"/>
        </w:rPr>
        <w:t>“On a scale of 0 to 10, how would you rate the home health care you received?” (This question is the same as Q</w:t>
      </w:r>
      <w:r w:rsidR="00CC4E66" w:rsidRPr="002513B4">
        <w:rPr>
          <w:szCs w:val="20"/>
        </w:rPr>
        <w:t>14</w:t>
      </w:r>
      <w:r w:rsidRPr="002513B4">
        <w:rPr>
          <w:szCs w:val="20"/>
        </w:rPr>
        <w:t xml:space="preserve"> in the HHCAHPS Survey.)</w:t>
      </w:r>
    </w:p>
    <w:p w14:paraId="54CAC6AB" w14:textId="121B632B" w:rsidR="00EE74F9" w:rsidRPr="002513B4" w:rsidRDefault="00EE74F9" w:rsidP="00F067F5">
      <w:pPr>
        <w:pStyle w:val="ListBullet"/>
        <w:rPr>
          <w:szCs w:val="20"/>
        </w:rPr>
      </w:pPr>
      <w:r w:rsidRPr="002513B4">
        <w:rPr>
          <w:szCs w:val="20"/>
        </w:rPr>
        <w:t xml:space="preserve">“Would you recommend this agency to your family or friends?” and “Would you recommend our services or call us in the future?” (These questions are </w:t>
      </w:r>
      <w:proofErr w:type="gramStart"/>
      <w:r w:rsidRPr="002513B4">
        <w:rPr>
          <w:szCs w:val="20"/>
        </w:rPr>
        <w:t>similar to</w:t>
      </w:r>
      <w:proofErr w:type="gramEnd"/>
      <w:r w:rsidRPr="002513B4">
        <w:rPr>
          <w:szCs w:val="20"/>
        </w:rPr>
        <w:t xml:space="preserve"> Q</w:t>
      </w:r>
      <w:r w:rsidR="00CC4E66" w:rsidRPr="002513B4">
        <w:rPr>
          <w:szCs w:val="20"/>
        </w:rPr>
        <w:t>17</w:t>
      </w:r>
      <w:r w:rsidRPr="002513B4">
        <w:rPr>
          <w:szCs w:val="20"/>
        </w:rPr>
        <w:t xml:space="preserve"> in the HHCAHPS Survey.)</w:t>
      </w:r>
    </w:p>
    <w:p w14:paraId="023475FA" w14:textId="3FB81AC0" w:rsidR="00EE74F9" w:rsidRPr="002513B4" w:rsidRDefault="00EE74F9" w:rsidP="00F067F5">
      <w:pPr>
        <w:pStyle w:val="ListBullet"/>
        <w:rPr>
          <w:szCs w:val="20"/>
        </w:rPr>
      </w:pPr>
      <w:r w:rsidRPr="002513B4">
        <w:rPr>
          <w:szCs w:val="20"/>
        </w:rPr>
        <w:t xml:space="preserve">“Was our staff friendly, professional, and courteous?” (This question is </w:t>
      </w:r>
      <w:proofErr w:type="gramStart"/>
      <w:r w:rsidRPr="002513B4">
        <w:rPr>
          <w:szCs w:val="20"/>
        </w:rPr>
        <w:t>similar to</w:t>
      </w:r>
      <w:proofErr w:type="gramEnd"/>
      <w:r w:rsidRPr="002513B4">
        <w:rPr>
          <w:szCs w:val="20"/>
        </w:rPr>
        <w:t xml:space="preserve"> Q1</w:t>
      </w:r>
      <w:r w:rsidR="00CC4E66" w:rsidRPr="002513B4">
        <w:rPr>
          <w:szCs w:val="20"/>
        </w:rPr>
        <w:t>0</w:t>
      </w:r>
      <w:r w:rsidRPr="002513B4">
        <w:rPr>
          <w:szCs w:val="20"/>
        </w:rPr>
        <w:t xml:space="preserve"> in the HHCAHPS Survey.)</w:t>
      </w:r>
    </w:p>
    <w:p w14:paraId="319EA1DB" w14:textId="6A00D531" w:rsidR="00EE74F9" w:rsidRPr="002513B4" w:rsidRDefault="00EE74F9" w:rsidP="00EE74F9">
      <w:pPr>
        <w:pStyle w:val="BodyText"/>
        <w:rPr>
          <w:szCs w:val="16"/>
          <w:lang w:val="en-US"/>
        </w:rPr>
      </w:pPr>
      <w:r w:rsidRPr="002513B4">
        <w:rPr>
          <w:szCs w:val="16"/>
          <w:lang w:val="en-US"/>
        </w:rPr>
        <w:t xml:space="preserve">Guidelines for selecting the HHCAHPS Survey sample in conjunction with other surveys are provided in </w:t>
      </w:r>
      <w:r w:rsidRPr="002513B4">
        <w:rPr>
          <w:b/>
          <w:i/>
          <w:szCs w:val="16"/>
          <w:lang w:val="en-US"/>
        </w:rPr>
        <w:t>Chapter </w:t>
      </w:r>
      <w:r w:rsidR="00CC4E66" w:rsidRPr="002513B4">
        <w:rPr>
          <w:b/>
          <w:i/>
          <w:szCs w:val="16"/>
          <w:lang w:val="en-US"/>
        </w:rPr>
        <w:t>4</w:t>
      </w:r>
      <w:r w:rsidRPr="002513B4">
        <w:rPr>
          <w:szCs w:val="16"/>
          <w:lang w:val="en-US"/>
        </w:rPr>
        <w:t xml:space="preserve"> of this manual.</w:t>
      </w:r>
    </w:p>
    <w:p w14:paraId="2DB42494" w14:textId="521B03EC" w:rsidR="00EE74F9" w:rsidRPr="002513B4" w:rsidRDefault="00545FDE" w:rsidP="00EE74F9">
      <w:pPr>
        <w:pStyle w:val="Heading4"/>
        <w:rPr>
          <w:lang w:val="en-US"/>
        </w:rPr>
      </w:pPr>
      <w:r w:rsidRPr="002513B4">
        <w:rPr>
          <w:lang w:val="en-US"/>
        </w:rPr>
        <w:t>3.</w:t>
      </w:r>
      <w:r w:rsidR="00621153" w:rsidRPr="002513B4">
        <w:rPr>
          <w:lang w:val="en-US"/>
        </w:rPr>
        <w:t>2</w:t>
      </w:r>
      <w:r w:rsidRPr="002513B4">
        <w:rPr>
          <w:lang w:val="en-US"/>
        </w:rPr>
        <w:t>.3</w:t>
      </w:r>
      <w:r w:rsidR="00634CA6">
        <w:rPr>
          <w:lang w:val="en-US"/>
        </w:rPr>
        <w:tab/>
      </w:r>
      <w:r w:rsidR="00EE74F9" w:rsidRPr="002513B4">
        <w:rPr>
          <w:lang w:val="en-US"/>
        </w:rPr>
        <w:t>Survey Vendor Roles and Responsibilities</w:t>
      </w:r>
    </w:p>
    <w:p w14:paraId="72EC2053" w14:textId="77777777" w:rsidR="00EE74F9" w:rsidRPr="002513B4" w:rsidRDefault="00EE74F9" w:rsidP="00F067F5">
      <w:pPr>
        <w:pStyle w:val="BodyText"/>
        <w:contextualSpacing/>
        <w:rPr>
          <w:szCs w:val="16"/>
          <w:lang w:val="en-US"/>
        </w:rPr>
      </w:pPr>
      <w:r w:rsidRPr="002513B4">
        <w:rPr>
          <w:szCs w:val="16"/>
          <w:lang w:val="en-US"/>
        </w:rPr>
        <w:t>The list below provides a synopsis of the roles and responsibilities of survey vendors on the HHCAHPS Survey.</w:t>
      </w:r>
    </w:p>
    <w:p w14:paraId="67A0F2D5" w14:textId="77777777" w:rsidR="00EE74F9" w:rsidRPr="002513B4" w:rsidRDefault="00EE74F9" w:rsidP="00F067F5">
      <w:pPr>
        <w:pStyle w:val="ListBullet"/>
        <w:rPr>
          <w:szCs w:val="20"/>
        </w:rPr>
      </w:pPr>
      <w:r w:rsidRPr="002513B4">
        <w:rPr>
          <w:szCs w:val="20"/>
        </w:rPr>
        <w:t xml:space="preserve">Complete the Vendor </w:t>
      </w:r>
      <w:r w:rsidR="005D3E9D" w:rsidRPr="002513B4">
        <w:rPr>
          <w:szCs w:val="20"/>
        </w:rPr>
        <w:t xml:space="preserve">Application </w:t>
      </w:r>
      <w:r w:rsidRPr="002513B4">
        <w:rPr>
          <w:szCs w:val="20"/>
        </w:rPr>
        <w:t>Form, which is available on the HHCAHPS Survey website after a vendor</w:t>
      </w:r>
      <w:r w:rsidR="00F63246" w:rsidRPr="002513B4">
        <w:rPr>
          <w:szCs w:val="20"/>
        </w:rPr>
        <w:t>’s HHCAHPS Survey Administrator/Project Manager</w:t>
      </w:r>
      <w:r w:rsidRPr="002513B4">
        <w:rPr>
          <w:szCs w:val="20"/>
        </w:rPr>
        <w:t xml:space="preserve"> registers for user credentials;</w:t>
      </w:r>
    </w:p>
    <w:p w14:paraId="2490B7C3" w14:textId="77777777" w:rsidR="00E135E8" w:rsidRPr="002513B4" w:rsidRDefault="00E135E8" w:rsidP="00F067F5">
      <w:pPr>
        <w:pStyle w:val="ListBullet"/>
        <w:rPr>
          <w:szCs w:val="20"/>
        </w:rPr>
      </w:pPr>
      <w:r w:rsidRPr="002513B4">
        <w:rPr>
          <w:szCs w:val="20"/>
        </w:rPr>
        <w:t>Complete the electronic consent form available through the vendor HHCAHPS Survey Administrator</w:t>
      </w:r>
      <w:r w:rsidR="00F63246" w:rsidRPr="002513B4">
        <w:rPr>
          <w:szCs w:val="20"/>
        </w:rPr>
        <w:t>/Project Manager</w:t>
      </w:r>
      <w:r w:rsidRPr="002513B4">
        <w:rPr>
          <w:szCs w:val="20"/>
        </w:rPr>
        <w:t xml:space="preserve">’s personalized Dashboard on the HHCAHPS website; </w:t>
      </w:r>
    </w:p>
    <w:p w14:paraId="5EE67A45" w14:textId="774078BF" w:rsidR="00EE74F9" w:rsidRPr="002513B4" w:rsidRDefault="00EE74F9" w:rsidP="00F067F5">
      <w:pPr>
        <w:pStyle w:val="ListBullet"/>
        <w:rPr>
          <w:szCs w:val="20"/>
        </w:rPr>
      </w:pPr>
      <w:r w:rsidRPr="002513B4">
        <w:rPr>
          <w:szCs w:val="20"/>
        </w:rPr>
        <w:t xml:space="preserve">Successfully complete the </w:t>
      </w:r>
      <w:r w:rsidR="00AF5C15" w:rsidRPr="002513B4">
        <w:rPr>
          <w:szCs w:val="20"/>
        </w:rPr>
        <w:t xml:space="preserve">self-paced </w:t>
      </w:r>
      <w:r w:rsidRPr="002513B4">
        <w:rPr>
          <w:szCs w:val="20"/>
        </w:rPr>
        <w:t>Introduction to the HHCAHPS Survey training</w:t>
      </w:r>
      <w:r w:rsidR="00D7704A" w:rsidRPr="002513B4">
        <w:rPr>
          <w:szCs w:val="20"/>
        </w:rPr>
        <w:t xml:space="preserve">, available </w:t>
      </w:r>
      <w:r w:rsidR="00503196" w:rsidRPr="002513B4">
        <w:rPr>
          <w:szCs w:val="20"/>
        </w:rPr>
        <w:t xml:space="preserve">annually </w:t>
      </w:r>
      <w:r w:rsidR="00D7704A" w:rsidRPr="002513B4">
        <w:rPr>
          <w:szCs w:val="20"/>
        </w:rPr>
        <w:t xml:space="preserve">on the </w:t>
      </w:r>
      <w:hyperlink r:id="rId57" w:history="1">
        <w:r w:rsidR="00907C8A" w:rsidRPr="002513B4">
          <w:rPr>
            <w:rStyle w:val="Hyperlink"/>
            <w:szCs w:val="20"/>
          </w:rPr>
          <w:t>Training Materials web</w:t>
        </w:r>
        <w:r w:rsidR="00DB4C5C" w:rsidRPr="002513B4">
          <w:rPr>
            <w:rStyle w:val="Hyperlink"/>
            <w:szCs w:val="20"/>
          </w:rPr>
          <w:t xml:space="preserve"> </w:t>
        </w:r>
        <w:r w:rsidR="00907C8A" w:rsidRPr="002513B4">
          <w:rPr>
            <w:rStyle w:val="Hyperlink"/>
            <w:szCs w:val="20"/>
          </w:rPr>
          <w:t>page</w:t>
        </w:r>
        <w:r w:rsidR="00907C8A" w:rsidRPr="002513B4">
          <w:t> </w:t>
        </w:r>
      </w:hyperlink>
      <w:r w:rsidR="00907C8A" w:rsidRPr="002513B4">
        <w:rPr>
          <w:noProof/>
        </w:rPr>
        <w:drawing>
          <wp:inline distT="0" distB="0" distL="0" distR="0" wp14:anchorId="1A22D500" wp14:editId="45521ED1">
            <wp:extent cx="95250" cy="95250"/>
            <wp:effectExtent l="0" t="0" r="0" b="0"/>
            <wp:docPr id="1983069227" name="Graphic 1983069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07C8A" w:rsidRPr="002513B4">
        <w:rPr>
          <w:szCs w:val="20"/>
        </w:rPr>
        <w:t xml:space="preserve"> of the </w:t>
      </w:r>
      <w:r w:rsidR="00D7704A" w:rsidRPr="002513B4">
        <w:rPr>
          <w:szCs w:val="20"/>
        </w:rPr>
        <w:t xml:space="preserve">HHCAHPS website </w:t>
      </w:r>
      <w:r w:rsidRPr="002513B4">
        <w:rPr>
          <w:szCs w:val="20"/>
        </w:rPr>
        <w:t xml:space="preserve">and all </w:t>
      </w:r>
      <w:r w:rsidR="00AF5C15" w:rsidRPr="002513B4">
        <w:rPr>
          <w:szCs w:val="20"/>
        </w:rPr>
        <w:t>subsequent U</w:t>
      </w:r>
      <w:r w:rsidRPr="002513B4">
        <w:rPr>
          <w:szCs w:val="20"/>
        </w:rPr>
        <w:t xml:space="preserve">pdate </w:t>
      </w:r>
      <w:r w:rsidR="00AF5C15" w:rsidRPr="002513B4">
        <w:rPr>
          <w:szCs w:val="20"/>
        </w:rPr>
        <w:t>Webinar T</w:t>
      </w:r>
      <w:r w:rsidRPr="002513B4">
        <w:rPr>
          <w:szCs w:val="20"/>
        </w:rPr>
        <w:t>raining</w:t>
      </w:r>
      <w:r w:rsidR="00AF5C15" w:rsidRPr="002513B4">
        <w:rPr>
          <w:szCs w:val="20"/>
        </w:rPr>
        <w:t>s</w:t>
      </w:r>
      <w:r w:rsidRPr="002513B4">
        <w:rPr>
          <w:szCs w:val="20"/>
        </w:rPr>
        <w:t>;</w:t>
      </w:r>
    </w:p>
    <w:p w14:paraId="4AED9F61" w14:textId="77777777" w:rsidR="00EE74F9" w:rsidRPr="002513B4" w:rsidRDefault="00EE74F9" w:rsidP="00F067F5">
      <w:pPr>
        <w:pStyle w:val="ListBullet"/>
        <w:rPr>
          <w:szCs w:val="20"/>
        </w:rPr>
      </w:pPr>
      <w:r w:rsidRPr="002513B4">
        <w:rPr>
          <w:szCs w:val="20"/>
        </w:rPr>
        <w:lastRenderedPageBreak/>
        <w:t xml:space="preserve">The survey vendor’s designated </w:t>
      </w:r>
      <w:r w:rsidR="00AF5C15" w:rsidRPr="002513B4">
        <w:rPr>
          <w:szCs w:val="20"/>
        </w:rPr>
        <w:t>HH</w:t>
      </w:r>
      <w:r w:rsidRPr="002513B4">
        <w:rPr>
          <w:szCs w:val="20"/>
        </w:rPr>
        <w:t xml:space="preserve">CAHPS </w:t>
      </w:r>
      <w:r w:rsidR="00F63246" w:rsidRPr="002513B4">
        <w:rPr>
          <w:szCs w:val="20"/>
        </w:rPr>
        <w:t>Survey Administrator/P</w:t>
      </w:r>
      <w:r w:rsidRPr="002513B4">
        <w:rPr>
          <w:szCs w:val="20"/>
        </w:rPr>
        <w:t xml:space="preserve">roject </w:t>
      </w:r>
      <w:r w:rsidR="00F63246" w:rsidRPr="002513B4">
        <w:rPr>
          <w:szCs w:val="20"/>
        </w:rPr>
        <w:t>M</w:t>
      </w:r>
      <w:r w:rsidRPr="002513B4">
        <w:rPr>
          <w:szCs w:val="20"/>
        </w:rPr>
        <w:t xml:space="preserve">anager must also complete a Training Certification Form after </w:t>
      </w:r>
      <w:r w:rsidR="00AF5C15" w:rsidRPr="002513B4">
        <w:rPr>
          <w:szCs w:val="20"/>
        </w:rPr>
        <w:t xml:space="preserve">reviewing </w:t>
      </w:r>
      <w:r w:rsidRPr="002513B4">
        <w:rPr>
          <w:szCs w:val="20"/>
        </w:rPr>
        <w:t xml:space="preserve">the </w:t>
      </w:r>
      <w:r w:rsidR="00AF5C15" w:rsidRPr="002513B4">
        <w:rPr>
          <w:szCs w:val="20"/>
        </w:rPr>
        <w:t xml:space="preserve">self-paced </w:t>
      </w:r>
      <w:r w:rsidRPr="002513B4">
        <w:rPr>
          <w:szCs w:val="20"/>
        </w:rPr>
        <w:t>Introduction to the HHCAHPS Survey training;</w:t>
      </w:r>
    </w:p>
    <w:p w14:paraId="19081ED0" w14:textId="77777777" w:rsidR="00EE74F9" w:rsidRPr="002513B4" w:rsidRDefault="00EE74F9" w:rsidP="00F067F5">
      <w:pPr>
        <w:pStyle w:val="ListBullet"/>
        <w:rPr>
          <w:szCs w:val="20"/>
        </w:rPr>
      </w:pPr>
      <w:r w:rsidRPr="002513B4">
        <w:rPr>
          <w:szCs w:val="20"/>
        </w:rPr>
        <w:t>Ensure that all survey vendor staff who work on the HHCAHPS Survey are trained and follow the standard HHCAHPS Survey protocols and guidelines;</w:t>
      </w:r>
    </w:p>
    <w:p w14:paraId="6792CB7B" w14:textId="77777777" w:rsidR="00EE74F9" w:rsidRPr="002513B4" w:rsidRDefault="00EE74F9" w:rsidP="00F067F5">
      <w:pPr>
        <w:pStyle w:val="ListBullet"/>
        <w:rPr>
          <w:szCs w:val="20"/>
        </w:rPr>
      </w:pPr>
      <w:r w:rsidRPr="002513B4">
        <w:rPr>
          <w:szCs w:val="20"/>
        </w:rPr>
        <w:t xml:space="preserve">Follow the participation requirements listed in the </w:t>
      </w:r>
      <w:r w:rsidR="00AF5C15" w:rsidRPr="002513B4">
        <w:rPr>
          <w:szCs w:val="20"/>
        </w:rPr>
        <w:t xml:space="preserve">online </w:t>
      </w:r>
      <w:r w:rsidRPr="002513B4">
        <w:rPr>
          <w:szCs w:val="20"/>
        </w:rPr>
        <w:t xml:space="preserve">Vendor </w:t>
      </w:r>
      <w:r w:rsidR="005D3E9D" w:rsidRPr="002513B4">
        <w:rPr>
          <w:szCs w:val="20"/>
        </w:rPr>
        <w:t xml:space="preserve">Application </w:t>
      </w:r>
      <w:r w:rsidRPr="002513B4">
        <w:rPr>
          <w:szCs w:val="20"/>
        </w:rPr>
        <w:t xml:space="preserve">Form </w:t>
      </w:r>
      <w:proofErr w:type="gramStart"/>
      <w:r w:rsidRPr="002513B4">
        <w:rPr>
          <w:szCs w:val="20"/>
        </w:rPr>
        <w:t>and also</w:t>
      </w:r>
      <w:proofErr w:type="gramEnd"/>
      <w:r w:rsidRPr="002513B4">
        <w:rPr>
          <w:szCs w:val="20"/>
        </w:rPr>
        <w:t xml:space="preserve"> repeated in the following chapters in this manual;</w:t>
      </w:r>
    </w:p>
    <w:p w14:paraId="05951730" w14:textId="77777777" w:rsidR="00EE74F9" w:rsidRPr="002513B4" w:rsidRDefault="00EE74F9" w:rsidP="00F067F5">
      <w:pPr>
        <w:pStyle w:val="ListBullet"/>
        <w:rPr>
          <w:szCs w:val="20"/>
        </w:rPr>
      </w:pPr>
      <w:r w:rsidRPr="002513B4">
        <w:rPr>
          <w:szCs w:val="20"/>
        </w:rPr>
        <w:t>Work with appropriate HHA staff to create monthly patient information files, including data elements needed and file format specifications, and decide on a date each month by which the HHA must provide each monthly patient information file;</w:t>
      </w:r>
    </w:p>
    <w:p w14:paraId="43A73653" w14:textId="77777777" w:rsidR="00EE74F9" w:rsidRPr="002513B4" w:rsidRDefault="00EE74F9" w:rsidP="00F067F5">
      <w:pPr>
        <w:pStyle w:val="ListBullet"/>
        <w:rPr>
          <w:szCs w:val="20"/>
        </w:rPr>
      </w:pPr>
      <w:r w:rsidRPr="002513B4">
        <w:rPr>
          <w:szCs w:val="20"/>
        </w:rPr>
        <w:t>Receive and perform checks of the monthly patient information files provided by HHAs to ensure that they include the entire eligible population and all required data elements;</w:t>
      </w:r>
    </w:p>
    <w:p w14:paraId="00DBD63D" w14:textId="72222EDD" w:rsidR="00EE74F9" w:rsidRPr="002513B4" w:rsidRDefault="00EE74F9" w:rsidP="00F067F5">
      <w:pPr>
        <w:pStyle w:val="ListBullet"/>
        <w:rPr>
          <w:szCs w:val="20"/>
        </w:rPr>
      </w:pPr>
      <w:r w:rsidRPr="002513B4">
        <w:rPr>
          <w:szCs w:val="20"/>
        </w:rPr>
        <w:t xml:space="preserve">Sample patients, following the sampling protocols described in this manual </w:t>
      </w:r>
      <w:r w:rsidR="007B355D" w:rsidRPr="002513B4">
        <w:rPr>
          <w:szCs w:val="20"/>
        </w:rPr>
        <w:t>in</w:t>
      </w:r>
      <w:r w:rsidRPr="002513B4">
        <w:rPr>
          <w:szCs w:val="20"/>
        </w:rPr>
        <w:t xml:space="preserve"> </w:t>
      </w:r>
      <w:r w:rsidRPr="002513B4">
        <w:rPr>
          <w:b/>
          <w:i/>
          <w:szCs w:val="20"/>
        </w:rPr>
        <w:t>Chapter </w:t>
      </w:r>
      <w:r w:rsidR="00503196" w:rsidRPr="002513B4">
        <w:rPr>
          <w:b/>
          <w:i/>
          <w:szCs w:val="20"/>
        </w:rPr>
        <w:t>4</w:t>
      </w:r>
      <w:r w:rsidRPr="002513B4">
        <w:rPr>
          <w:szCs w:val="20"/>
        </w:rPr>
        <w:t>;</w:t>
      </w:r>
    </w:p>
    <w:p w14:paraId="0CB68B99" w14:textId="7E265C6F" w:rsidR="00EE74F9" w:rsidRPr="002513B4" w:rsidRDefault="00EE74F9" w:rsidP="00F067F5">
      <w:pPr>
        <w:pStyle w:val="ListBullet"/>
        <w:rPr>
          <w:szCs w:val="20"/>
        </w:rPr>
      </w:pPr>
      <w:r w:rsidRPr="002513B4">
        <w:rPr>
          <w:szCs w:val="20"/>
        </w:rPr>
        <w:t xml:space="preserve">Administer the HHCAHPS Survey in accordance with the protocols specified in </w:t>
      </w:r>
      <w:r w:rsidRPr="002513B4">
        <w:rPr>
          <w:b/>
          <w:i/>
          <w:szCs w:val="20"/>
        </w:rPr>
        <w:t>Chapters </w:t>
      </w:r>
      <w:r w:rsidR="00503196" w:rsidRPr="002513B4">
        <w:rPr>
          <w:b/>
          <w:i/>
          <w:szCs w:val="20"/>
        </w:rPr>
        <w:t>5</w:t>
      </w:r>
      <w:r w:rsidRPr="002513B4">
        <w:rPr>
          <w:b/>
          <w:i/>
          <w:szCs w:val="20"/>
        </w:rPr>
        <w:noBreakHyphen/>
      </w:r>
      <w:r w:rsidR="00503196" w:rsidRPr="002513B4">
        <w:rPr>
          <w:b/>
          <w:i/>
          <w:szCs w:val="20"/>
        </w:rPr>
        <w:t>7</w:t>
      </w:r>
      <w:r w:rsidRPr="002513B4">
        <w:rPr>
          <w:szCs w:val="20"/>
        </w:rPr>
        <w:t xml:space="preserve"> of this manual and oversee the quality of work performed by staff and any subcontractors, if applicable;</w:t>
      </w:r>
    </w:p>
    <w:p w14:paraId="52163137" w14:textId="77777777" w:rsidR="00EE74F9" w:rsidRPr="002513B4" w:rsidRDefault="00EE74F9" w:rsidP="00F067F5">
      <w:pPr>
        <w:pStyle w:val="ListBullet"/>
        <w:rPr>
          <w:szCs w:val="20"/>
        </w:rPr>
      </w:pPr>
      <w:r w:rsidRPr="002513B4">
        <w:rPr>
          <w:szCs w:val="20"/>
        </w:rPr>
        <w:t>Verify that each client HHA has authorized the vendor to submit data on the agency’s behalf;</w:t>
      </w:r>
    </w:p>
    <w:p w14:paraId="386AFF02" w14:textId="14E6FF16" w:rsidR="00EE74F9" w:rsidRPr="002513B4" w:rsidRDefault="00EE74F9" w:rsidP="00F067F5">
      <w:pPr>
        <w:pStyle w:val="ListBullet"/>
        <w:rPr>
          <w:szCs w:val="20"/>
        </w:rPr>
      </w:pPr>
      <w:r w:rsidRPr="002513B4">
        <w:rPr>
          <w:szCs w:val="20"/>
        </w:rPr>
        <w:t xml:space="preserve">Prepare and submit data files to the HHCAHPS Survey Data Center following the guidelines specified in </w:t>
      </w:r>
      <w:r w:rsidRPr="002513B4">
        <w:rPr>
          <w:b/>
          <w:i/>
          <w:szCs w:val="20"/>
        </w:rPr>
        <w:t xml:space="preserve">Chapters </w:t>
      </w:r>
      <w:r w:rsidR="00503196" w:rsidRPr="002513B4">
        <w:rPr>
          <w:b/>
          <w:i/>
          <w:szCs w:val="20"/>
        </w:rPr>
        <w:t>9</w:t>
      </w:r>
      <w:r w:rsidRPr="002513B4">
        <w:rPr>
          <w:b/>
          <w:i/>
          <w:szCs w:val="20"/>
        </w:rPr>
        <w:t xml:space="preserve"> </w:t>
      </w:r>
      <w:r w:rsidRPr="002513B4">
        <w:rPr>
          <w:szCs w:val="20"/>
        </w:rPr>
        <w:t>and</w:t>
      </w:r>
      <w:r w:rsidRPr="002513B4">
        <w:rPr>
          <w:b/>
          <w:i/>
          <w:szCs w:val="20"/>
        </w:rPr>
        <w:t xml:space="preserve"> </w:t>
      </w:r>
      <w:r w:rsidR="00503196" w:rsidRPr="002513B4">
        <w:rPr>
          <w:b/>
          <w:i/>
          <w:szCs w:val="20"/>
        </w:rPr>
        <w:t>10</w:t>
      </w:r>
      <w:r w:rsidRPr="002513B4">
        <w:rPr>
          <w:szCs w:val="20"/>
        </w:rPr>
        <w:t xml:space="preserve"> of this manual and in the </w:t>
      </w:r>
      <w:r w:rsidRPr="002513B4">
        <w:rPr>
          <w:i/>
          <w:iCs/>
          <w:szCs w:val="20"/>
        </w:rPr>
        <w:t xml:space="preserve">Home Health Care CAHPS Survey Website User and Data Submission Manual, Version </w:t>
      </w:r>
      <w:r w:rsidR="0068405D" w:rsidRPr="002513B4">
        <w:rPr>
          <w:i/>
          <w:iCs/>
          <w:szCs w:val="20"/>
        </w:rPr>
        <w:t>1</w:t>
      </w:r>
      <w:r w:rsidR="00503196" w:rsidRPr="002513B4">
        <w:rPr>
          <w:i/>
          <w:iCs/>
          <w:szCs w:val="20"/>
        </w:rPr>
        <w:t>4</w:t>
      </w:r>
      <w:r w:rsidRPr="002513B4">
        <w:rPr>
          <w:i/>
          <w:iCs/>
          <w:szCs w:val="20"/>
        </w:rPr>
        <w:t>.0</w:t>
      </w:r>
      <w:r w:rsidRPr="002513B4">
        <w:rPr>
          <w:szCs w:val="20"/>
        </w:rPr>
        <w:t xml:space="preserve">; </w:t>
      </w:r>
    </w:p>
    <w:p w14:paraId="7BC5C0CC" w14:textId="6EFF8D08" w:rsidR="00EE74F9" w:rsidRPr="002513B4" w:rsidRDefault="00EE74F9" w:rsidP="00F067F5">
      <w:pPr>
        <w:pStyle w:val="ListBullet"/>
        <w:rPr>
          <w:szCs w:val="20"/>
        </w:rPr>
      </w:pPr>
      <w:r w:rsidRPr="002513B4">
        <w:rPr>
          <w:szCs w:val="20"/>
        </w:rPr>
        <w:t>Review all data submission reports for client agencies to ensure that data have been successfully uploaded and received.</w:t>
      </w:r>
    </w:p>
    <w:p w14:paraId="6C82407A" w14:textId="776B7F8E" w:rsidR="00EE74F9" w:rsidRPr="002513B4" w:rsidRDefault="00621153" w:rsidP="00EE74F9">
      <w:pPr>
        <w:pStyle w:val="Heading3"/>
        <w:rPr>
          <w:lang w:val="en-US"/>
        </w:rPr>
      </w:pPr>
      <w:bookmarkStart w:id="88" w:name="_Toc224984399"/>
      <w:bookmarkStart w:id="89" w:name="_Toc251318128"/>
      <w:bookmarkStart w:id="90" w:name="_Toc407633051"/>
      <w:bookmarkStart w:id="91" w:name="_Toc24713327"/>
      <w:bookmarkStart w:id="92" w:name="_Toc217305564"/>
      <w:r w:rsidRPr="002513B4">
        <w:rPr>
          <w:lang w:val="en-US"/>
        </w:rPr>
        <w:t>3.3</w:t>
      </w:r>
      <w:r w:rsidRPr="002513B4">
        <w:rPr>
          <w:lang w:val="en-US"/>
        </w:rPr>
        <w:tab/>
      </w:r>
      <w:r w:rsidR="00EE74F9" w:rsidRPr="002513B4">
        <w:rPr>
          <w:lang w:val="en-US"/>
        </w:rPr>
        <w:t>Survey Vendor Participation Requirements</w:t>
      </w:r>
      <w:bookmarkEnd w:id="88"/>
      <w:bookmarkEnd w:id="89"/>
      <w:bookmarkEnd w:id="90"/>
      <w:bookmarkEnd w:id="91"/>
      <w:bookmarkEnd w:id="92"/>
    </w:p>
    <w:p w14:paraId="5BF07796" w14:textId="7A402038" w:rsidR="00EE74F9" w:rsidRPr="002513B4" w:rsidRDefault="00EE74F9" w:rsidP="00EE74F9">
      <w:pPr>
        <w:pStyle w:val="BodyText"/>
        <w:rPr>
          <w:lang w:val="en-US"/>
        </w:rPr>
      </w:pPr>
      <w:r w:rsidRPr="002513B4">
        <w:rPr>
          <w:lang w:val="en-US"/>
        </w:rPr>
        <w:t xml:space="preserve">Survey organizations interested in becoming an approved survey vendor for the HHCAHPS Survey must agree to the following requirements of participation, as specified in the </w:t>
      </w:r>
      <w:r w:rsidR="007B355D" w:rsidRPr="002513B4">
        <w:rPr>
          <w:lang w:val="en-US"/>
        </w:rPr>
        <w:t xml:space="preserve">online </w:t>
      </w:r>
      <w:r w:rsidRPr="002513B4">
        <w:rPr>
          <w:lang w:val="en-US"/>
        </w:rPr>
        <w:t xml:space="preserve">Vendor </w:t>
      </w:r>
      <w:r w:rsidR="005D3E9D" w:rsidRPr="002513B4">
        <w:rPr>
          <w:lang w:val="en-US"/>
        </w:rPr>
        <w:t xml:space="preserve">Application </w:t>
      </w:r>
      <w:r w:rsidRPr="002513B4">
        <w:rPr>
          <w:lang w:val="en-US"/>
        </w:rPr>
        <w:t>Form (</w:t>
      </w:r>
      <w:r w:rsidRPr="002513B4">
        <w:rPr>
          <w:b/>
          <w:i/>
          <w:lang w:val="en-US"/>
        </w:rPr>
        <w:t>Appendix A</w:t>
      </w:r>
      <w:r w:rsidRPr="002513B4">
        <w:rPr>
          <w:lang w:val="en-US"/>
        </w:rPr>
        <w:t>) and noted below.</w:t>
      </w:r>
      <w:r w:rsidR="003B2098" w:rsidRPr="002513B4">
        <w:rPr>
          <w:lang w:val="en-US"/>
        </w:rPr>
        <w:t xml:space="preserve"> </w:t>
      </w:r>
    </w:p>
    <w:p w14:paraId="3328ABA8" w14:textId="7F654094" w:rsidR="00EE74F9" w:rsidRPr="002513B4" w:rsidRDefault="00EE74F9" w:rsidP="00F067F5">
      <w:pPr>
        <w:pStyle w:val="ListBullet"/>
      </w:pPr>
      <w:r w:rsidRPr="002513B4">
        <w:t xml:space="preserve">The vendor’s staff member designated as the </w:t>
      </w:r>
      <w:r w:rsidR="007B355D" w:rsidRPr="002513B4">
        <w:t xml:space="preserve">HHCAHPS </w:t>
      </w:r>
      <w:r w:rsidR="00F63246" w:rsidRPr="002513B4">
        <w:t>Survey Administrator/</w:t>
      </w:r>
      <w:r w:rsidRPr="002513B4">
        <w:t xml:space="preserve">Project Manager must complete the self-paced Introduction </w:t>
      </w:r>
      <w:r w:rsidR="007B355D" w:rsidRPr="002513B4">
        <w:t>to the HHCAHPS Survey T</w:t>
      </w:r>
      <w:r w:rsidRPr="002513B4">
        <w:t xml:space="preserve">raining </w:t>
      </w:r>
      <w:r w:rsidR="00685AF1" w:rsidRPr="002513B4">
        <w:t xml:space="preserve">available annually on the </w:t>
      </w:r>
      <w:hyperlink r:id="rId58" w:history="1">
        <w:r w:rsidR="00907C8A" w:rsidRPr="002513B4">
          <w:rPr>
            <w:rStyle w:val="Hyperlink"/>
          </w:rPr>
          <w:t>Training Materials web</w:t>
        </w:r>
        <w:r w:rsidR="00DB4C5C" w:rsidRPr="002513B4">
          <w:rPr>
            <w:rStyle w:val="Hyperlink"/>
          </w:rPr>
          <w:t xml:space="preserve"> </w:t>
        </w:r>
        <w:r w:rsidR="00907C8A" w:rsidRPr="002513B4">
          <w:rPr>
            <w:rStyle w:val="Hyperlink"/>
          </w:rPr>
          <w:t>page</w:t>
        </w:r>
      </w:hyperlink>
      <w:r w:rsidR="00907C8A" w:rsidRPr="002513B4">
        <w:t> </w:t>
      </w:r>
      <w:r w:rsidR="00907C8A" w:rsidRPr="002513B4">
        <w:rPr>
          <w:noProof/>
        </w:rPr>
        <w:drawing>
          <wp:inline distT="0" distB="0" distL="0" distR="0" wp14:anchorId="27C56109" wp14:editId="5A286A1D">
            <wp:extent cx="95250" cy="95250"/>
            <wp:effectExtent l="0" t="0" r="0" b="0"/>
            <wp:docPr id="593309817" name="Graphic 593309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07C8A" w:rsidRPr="002513B4">
        <w:t xml:space="preserve"> of the </w:t>
      </w:r>
      <w:r w:rsidR="00685AF1" w:rsidRPr="002513B4">
        <w:t xml:space="preserve">HHCAHPS website </w:t>
      </w:r>
      <w:r w:rsidRPr="002513B4">
        <w:t xml:space="preserve">and attend </w:t>
      </w:r>
      <w:r w:rsidR="007B355D" w:rsidRPr="002513B4">
        <w:t xml:space="preserve">any subsequent </w:t>
      </w:r>
      <w:r w:rsidRPr="002513B4">
        <w:t xml:space="preserve">Update </w:t>
      </w:r>
      <w:r w:rsidR="007B355D" w:rsidRPr="002513B4">
        <w:t>Webinar T</w:t>
      </w:r>
      <w:r w:rsidRPr="002513B4">
        <w:t>rainings</w:t>
      </w:r>
      <w:r w:rsidR="007B355D" w:rsidRPr="002513B4">
        <w:t>.</w:t>
      </w:r>
      <w:r w:rsidRPr="002513B4">
        <w:t xml:space="preserve"> </w:t>
      </w:r>
      <w:r w:rsidR="007B355D" w:rsidRPr="002513B4">
        <w:t>It is</w:t>
      </w:r>
      <w:r w:rsidRPr="002513B4">
        <w:t xml:space="preserve"> strongly advise</w:t>
      </w:r>
      <w:r w:rsidR="007B355D" w:rsidRPr="002513B4">
        <w:t>d</w:t>
      </w:r>
      <w:r w:rsidRPr="002513B4">
        <w:t xml:space="preserve"> that the vendor’s sampling and data managers also complete the self-paced </w:t>
      </w:r>
      <w:r w:rsidR="007B355D" w:rsidRPr="002513B4">
        <w:t>Introductory T</w:t>
      </w:r>
      <w:r w:rsidRPr="002513B4">
        <w:t xml:space="preserve">raining and attend the Update </w:t>
      </w:r>
      <w:r w:rsidR="007B355D" w:rsidRPr="002513B4">
        <w:t>Webinar T</w:t>
      </w:r>
      <w:r w:rsidRPr="002513B4">
        <w:t xml:space="preserve">rainings. The survey vendor’s designated HHCAHPS </w:t>
      </w:r>
      <w:r w:rsidR="00F63246" w:rsidRPr="002513B4">
        <w:t>Survey Administrator/</w:t>
      </w:r>
      <w:r w:rsidRPr="002513B4">
        <w:t xml:space="preserve">Project Manager must complete a </w:t>
      </w:r>
      <w:r w:rsidR="007B355D" w:rsidRPr="002513B4">
        <w:t xml:space="preserve">training </w:t>
      </w:r>
      <w:r w:rsidRPr="002513B4">
        <w:t xml:space="preserve">certification </w:t>
      </w:r>
      <w:r w:rsidR="007B355D" w:rsidRPr="002513B4">
        <w:t>exam</w:t>
      </w:r>
      <w:r w:rsidRPr="002513B4">
        <w:t xml:space="preserve">, also referred to as a Training Certification Form, after </w:t>
      </w:r>
      <w:r w:rsidR="007B355D" w:rsidRPr="002513B4">
        <w:t xml:space="preserve">reviewing </w:t>
      </w:r>
      <w:r w:rsidRPr="002513B4">
        <w:t>the Introduct</w:t>
      </w:r>
      <w:r w:rsidR="007B355D" w:rsidRPr="002513B4">
        <w:t>ory</w:t>
      </w:r>
      <w:r w:rsidRPr="002513B4">
        <w:t xml:space="preserve"> </w:t>
      </w:r>
      <w:r w:rsidR="007B355D" w:rsidRPr="002513B4">
        <w:t>T</w:t>
      </w:r>
      <w:r w:rsidRPr="002513B4">
        <w:t xml:space="preserve">raining. All Update </w:t>
      </w:r>
      <w:r w:rsidR="007B355D" w:rsidRPr="002513B4">
        <w:t>T</w:t>
      </w:r>
      <w:r w:rsidRPr="002513B4">
        <w:t xml:space="preserve">raining sessions will be </w:t>
      </w:r>
      <w:r w:rsidRPr="002513B4">
        <w:lastRenderedPageBreak/>
        <w:t xml:space="preserve">conducted via </w:t>
      </w:r>
      <w:r w:rsidR="007B355D" w:rsidRPr="002513B4">
        <w:t>w</w:t>
      </w:r>
      <w:r w:rsidRPr="002513B4">
        <w:t xml:space="preserve">ebinar and require that the survey vendor register in advance for and attend the session. </w:t>
      </w:r>
    </w:p>
    <w:p w14:paraId="3A4E10AB" w14:textId="77777777" w:rsidR="00EE74F9" w:rsidRPr="002513B4" w:rsidRDefault="00EE74F9" w:rsidP="00F067F5">
      <w:pPr>
        <w:pStyle w:val="ListBullet"/>
      </w:pPr>
      <w:r w:rsidRPr="002513B4">
        <w:rPr>
          <w:iCs/>
        </w:rPr>
        <w:t>R</w:t>
      </w:r>
      <w:r w:rsidRPr="002513B4">
        <w:t>eview th</w:t>
      </w:r>
      <w:r w:rsidR="007B355D" w:rsidRPr="002513B4">
        <w:t>is manual</w:t>
      </w:r>
      <w:r w:rsidRPr="002513B4">
        <w:t xml:space="preserve"> and follow the protocols and procedures described during survey administration. This manual is the main resource for survey vendors to use in implementing all stages of the HHCAHPS Survey—from sampling and data collection to file development and submission. Vendors are expected to refer to this manual frequently and adhere to all protocols contained within it. Protocol and policy updates will be posted on the HHCAHPS Survey website, so vendors are expected to check the website frequently for such notifications.</w:t>
      </w:r>
    </w:p>
    <w:p w14:paraId="5FE23248" w14:textId="77777777" w:rsidR="00EE74F9" w:rsidRPr="002513B4" w:rsidRDefault="00EE74F9" w:rsidP="00F067F5">
      <w:pPr>
        <w:pStyle w:val="ListBullet"/>
      </w:pPr>
      <w:r w:rsidRPr="002513B4">
        <w:t>Check the HHCAHPS website frequently to review announcements and protocol updates</w:t>
      </w:r>
      <w:r w:rsidR="007B355D" w:rsidRPr="002513B4">
        <w:t>,</w:t>
      </w:r>
      <w:r w:rsidRPr="002513B4">
        <w:t xml:space="preserve"> and review and respond as appropriate to emails from the HHCAHPS </w:t>
      </w:r>
      <w:r w:rsidR="007B355D" w:rsidRPr="002513B4">
        <w:t xml:space="preserve">Survey </w:t>
      </w:r>
      <w:r w:rsidRPr="002513B4">
        <w:t xml:space="preserve">Coordination Team (emails will be from </w:t>
      </w:r>
      <w:hyperlink r:id="rId59" w:history="1">
        <w:r w:rsidRPr="002513B4">
          <w:rPr>
            <w:rStyle w:val="Hyperlink"/>
          </w:rPr>
          <w:t>hhcahps@rti.org</w:t>
        </w:r>
      </w:hyperlink>
      <w:r w:rsidRPr="002513B4">
        <w:t>).</w:t>
      </w:r>
    </w:p>
    <w:p w14:paraId="03AFDCE9" w14:textId="143DBF5A" w:rsidR="00EE74F9" w:rsidRPr="002513B4" w:rsidRDefault="00EE74F9" w:rsidP="00A02655">
      <w:pPr>
        <w:pStyle w:val="ListBullet"/>
        <w:spacing w:after="120"/>
      </w:pPr>
      <w:r w:rsidRPr="002513B4">
        <w:t xml:space="preserve">Develop and submit a Quality Assurance Plan (QAP), following guidelines described in </w:t>
      </w:r>
      <w:r w:rsidRPr="002513B4">
        <w:rPr>
          <w:b/>
          <w:bCs/>
          <w:i/>
          <w:iCs/>
        </w:rPr>
        <w:t>Chapter </w:t>
      </w:r>
      <w:r w:rsidR="00685AF1" w:rsidRPr="002513B4">
        <w:rPr>
          <w:b/>
          <w:bCs/>
          <w:i/>
          <w:iCs/>
        </w:rPr>
        <w:t>12</w:t>
      </w:r>
      <w:r w:rsidRPr="002513B4">
        <w:t xml:space="preserve"> of this manual and the </w:t>
      </w:r>
      <w:hyperlink r:id="rId60" w:history="1">
        <w:r w:rsidR="00685AF1" w:rsidRPr="002513B4">
          <w:rPr>
            <w:rStyle w:val="Hyperlink"/>
          </w:rPr>
          <w:t>M</w:t>
        </w:r>
        <w:r w:rsidRPr="002513B4">
          <w:rPr>
            <w:rStyle w:val="Hyperlink"/>
          </w:rPr>
          <w:t>odel QAP</w:t>
        </w:r>
      </w:hyperlink>
      <w:r w:rsidR="00907C8A" w:rsidRPr="002513B4">
        <w:t> </w:t>
      </w:r>
      <w:r w:rsidR="00907C8A" w:rsidRPr="002513B4">
        <w:rPr>
          <w:noProof/>
        </w:rPr>
        <w:drawing>
          <wp:inline distT="0" distB="0" distL="0" distR="0" wp14:anchorId="27212AA7" wp14:editId="3E6E0A28">
            <wp:extent cx="95250" cy="95250"/>
            <wp:effectExtent l="0" t="0" r="0" b="0"/>
            <wp:docPr id="1431616359" name="Graphic 1431616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t xml:space="preserve"> </w:t>
      </w:r>
      <w:r w:rsidR="00685AF1" w:rsidRPr="002513B4">
        <w:t xml:space="preserve">available on the HHCAHPS website and in </w:t>
      </w:r>
      <w:r w:rsidR="00685AF1" w:rsidRPr="002513B4">
        <w:rPr>
          <w:b/>
          <w:bCs/>
          <w:i/>
          <w:iCs/>
        </w:rPr>
        <w:t>Appendix A</w:t>
      </w:r>
      <w:r w:rsidRPr="002513B4">
        <w:t xml:space="preserve">. Survey vendors must complete and submit a QAP within 6 weeks after the vendor’s first quarterly HHCAHPS Survey data submission. The QAP must be updated </w:t>
      </w:r>
      <w:r w:rsidR="0011660E" w:rsidRPr="002513B4">
        <w:t xml:space="preserve">at least </w:t>
      </w:r>
      <w:r w:rsidRPr="002513B4">
        <w:t>annually or as needed whenever changes are made to key personnel, survey modes being administered, or protocols. The QAP must include the following elements:</w:t>
      </w:r>
    </w:p>
    <w:p w14:paraId="0CBA8793" w14:textId="77777777" w:rsidR="00EE74F9" w:rsidRPr="002513B4" w:rsidRDefault="00EE74F9" w:rsidP="00A62DD9">
      <w:pPr>
        <w:pStyle w:val="ListBullet2"/>
      </w:pPr>
      <w:r w:rsidRPr="002513B4">
        <w:t>Organizational background and staff experience;</w:t>
      </w:r>
    </w:p>
    <w:p w14:paraId="6AEFDD54" w14:textId="77777777" w:rsidR="00EE74F9" w:rsidRPr="002513B4" w:rsidRDefault="00EE74F9" w:rsidP="00A62DD9">
      <w:pPr>
        <w:pStyle w:val="ListBullet2"/>
      </w:pPr>
      <w:r w:rsidRPr="002513B4">
        <w:t>Work plan;</w:t>
      </w:r>
    </w:p>
    <w:p w14:paraId="0F0AD1EF" w14:textId="77777777" w:rsidR="00EE74F9" w:rsidRPr="002513B4" w:rsidRDefault="00EE74F9" w:rsidP="00A62DD9">
      <w:pPr>
        <w:pStyle w:val="ListBullet2"/>
      </w:pPr>
      <w:r w:rsidRPr="002513B4">
        <w:t>Sampling protocols and quality assurance procedures;</w:t>
      </w:r>
    </w:p>
    <w:p w14:paraId="2D247F63" w14:textId="77777777" w:rsidR="00EE74F9" w:rsidRPr="002513B4" w:rsidRDefault="00EE74F9" w:rsidP="00A62DD9">
      <w:pPr>
        <w:pStyle w:val="ListBullet2"/>
      </w:pPr>
      <w:r w:rsidRPr="002513B4">
        <w:t>Survey administration protocols and quality assurance procedures;</w:t>
      </w:r>
    </w:p>
    <w:p w14:paraId="6C37D054" w14:textId="77777777" w:rsidR="00EE74F9" w:rsidRPr="002513B4" w:rsidRDefault="00EE74F9" w:rsidP="00A62DD9">
      <w:pPr>
        <w:pStyle w:val="ListBullet2"/>
      </w:pPr>
      <w:r w:rsidRPr="002513B4">
        <w:t>Data security, confidentiality, and privacy protocols; and</w:t>
      </w:r>
    </w:p>
    <w:p w14:paraId="34401EC7" w14:textId="77777777" w:rsidR="00EE74F9" w:rsidRPr="002513B4" w:rsidRDefault="00EE74F9" w:rsidP="003319E1">
      <w:pPr>
        <w:pStyle w:val="ListBullet2"/>
        <w:spacing w:after="120"/>
      </w:pPr>
      <w:r w:rsidRPr="002513B4">
        <w:t xml:space="preserve">Copies of the survey instrument (questionnaire </w:t>
      </w:r>
      <w:r w:rsidR="00AC029A" w:rsidRPr="002513B4">
        <w:t>and/</w:t>
      </w:r>
      <w:r w:rsidRPr="002513B4">
        <w:t>or computer-assisted telephone interviewing [CATI] script) and cover letters</w:t>
      </w:r>
      <w:r w:rsidR="007B355D" w:rsidRPr="002513B4">
        <w:t xml:space="preserve"> in English and Spanish (if applicable)</w:t>
      </w:r>
      <w:r w:rsidRPr="002513B4">
        <w:t>.</w:t>
      </w:r>
    </w:p>
    <w:p w14:paraId="1AE9804D" w14:textId="6A6B5E15" w:rsidR="00EE74F9" w:rsidRPr="002513B4" w:rsidRDefault="00EE74F9" w:rsidP="00A02655">
      <w:pPr>
        <w:pStyle w:val="ListBullet"/>
      </w:pPr>
      <w:r w:rsidRPr="002513B4">
        <w:t xml:space="preserve">Participate and cooperate in all oversight activities conducted by the HHCAHPS Survey Coordination Team, including but not limited to conference calls and site visits, as deemed necessary. Additionally, the Coordination Team may request teleconference calls with vendors to review sampling protocols, file submissions, or any other aspect of the data collection process. Documentation and requirements that vendors are expected to follow in light of these oversight activities are described in the </w:t>
      </w:r>
      <w:r w:rsidR="006B7B9A" w:rsidRPr="002513B4">
        <w:t xml:space="preserve">online </w:t>
      </w:r>
      <w:r w:rsidRPr="002513B4">
        <w:t xml:space="preserve">Vendor </w:t>
      </w:r>
      <w:r w:rsidR="005D3E9D" w:rsidRPr="002513B4">
        <w:t xml:space="preserve">Application </w:t>
      </w:r>
      <w:r w:rsidRPr="002513B4">
        <w:t xml:space="preserve">Form </w:t>
      </w:r>
      <w:r w:rsidR="00853FDF" w:rsidRPr="002513B4">
        <w:t xml:space="preserve">available to view on the </w:t>
      </w:r>
      <w:hyperlink r:id="rId61" w:history="1">
        <w:r w:rsidR="0005796E" w:rsidRPr="002513B4">
          <w:rPr>
            <w:rStyle w:val="Hyperlink"/>
          </w:rPr>
          <w:t>Survey and Protocols web</w:t>
        </w:r>
        <w:r w:rsidR="00DB4C5C" w:rsidRPr="002513B4">
          <w:rPr>
            <w:rStyle w:val="Hyperlink"/>
          </w:rPr>
          <w:t xml:space="preserve"> </w:t>
        </w:r>
        <w:r w:rsidR="0005796E" w:rsidRPr="002513B4">
          <w:rPr>
            <w:rStyle w:val="Hyperlink"/>
          </w:rPr>
          <w:t>page</w:t>
        </w:r>
      </w:hyperlink>
      <w:r w:rsidR="0005796E" w:rsidRPr="002513B4">
        <w:t> </w:t>
      </w:r>
      <w:r w:rsidR="0005796E" w:rsidRPr="002513B4">
        <w:rPr>
          <w:noProof/>
        </w:rPr>
        <w:drawing>
          <wp:inline distT="0" distB="0" distL="0" distR="0" wp14:anchorId="67CDEA07" wp14:editId="6197EEE6">
            <wp:extent cx="95250" cy="95250"/>
            <wp:effectExtent l="0" t="0" r="0" b="0"/>
            <wp:docPr id="1600575146" name="Graphic 1600575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05796E" w:rsidRPr="002513B4">
        <w:t xml:space="preserve"> of the </w:t>
      </w:r>
      <w:r w:rsidR="00853FDF" w:rsidRPr="002513B4">
        <w:t>HHCAHPS website</w:t>
      </w:r>
      <w:r w:rsidRPr="002513B4">
        <w:t xml:space="preserve"> and in </w:t>
      </w:r>
      <w:r w:rsidRPr="002513B4">
        <w:rPr>
          <w:b/>
          <w:i/>
        </w:rPr>
        <w:t>Chapter </w:t>
      </w:r>
      <w:r w:rsidR="00853FDF" w:rsidRPr="002513B4">
        <w:rPr>
          <w:b/>
          <w:i/>
        </w:rPr>
        <w:t>12</w:t>
      </w:r>
      <w:r w:rsidRPr="002513B4">
        <w:rPr>
          <w:b/>
          <w:i/>
        </w:rPr>
        <w:t xml:space="preserve"> </w:t>
      </w:r>
      <w:r w:rsidRPr="002513B4">
        <w:t>of this manual.</w:t>
      </w:r>
    </w:p>
    <w:p w14:paraId="0AEBD2CE" w14:textId="77777777" w:rsidR="00EE74F9" w:rsidRPr="002513B4" w:rsidRDefault="00A32CF2" w:rsidP="00A02655">
      <w:pPr>
        <w:pStyle w:val="ListBullet"/>
      </w:pPr>
      <w:r w:rsidRPr="002513B4">
        <w:t>R</w:t>
      </w:r>
      <w:r w:rsidR="00EE74F9" w:rsidRPr="002513B4">
        <w:t>eview and agree to the participation requirements listed in the</w:t>
      </w:r>
      <w:r w:rsidR="006B7B9A" w:rsidRPr="002513B4">
        <w:t xml:space="preserve"> online</w:t>
      </w:r>
      <w:r w:rsidR="00EE74F9" w:rsidRPr="002513B4">
        <w:t xml:space="preserve"> Vendor </w:t>
      </w:r>
      <w:r w:rsidR="005D3E9D" w:rsidRPr="002513B4">
        <w:t xml:space="preserve">Application </w:t>
      </w:r>
      <w:r w:rsidR="00EE74F9" w:rsidRPr="002513B4">
        <w:t>Form and described in the bullets above. Vendors who fail to adhere to or comply with the participation requirements risk losing their status as an approved HHCAHPS Survey vendor.</w:t>
      </w:r>
    </w:p>
    <w:p w14:paraId="1402F198" w14:textId="7FDE0A23" w:rsidR="00EE74F9" w:rsidRPr="002513B4" w:rsidRDefault="00621153" w:rsidP="00EE74F9">
      <w:pPr>
        <w:pStyle w:val="Heading3"/>
        <w:rPr>
          <w:lang w:val="en-US"/>
        </w:rPr>
      </w:pPr>
      <w:bookmarkStart w:id="93" w:name="_Toc224984400"/>
      <w:bookmarkStart w:id="94" w:name="_Toc251318129"/>
      <w:bookmarkStart w:id="95" w:name="_Toc407633052"/>
      <w:bookmarkStart w:id="96" w:name="_Toc24713328"/>
      <w:bookmarkStart w:id="97" w:name="_Toc217305565"/>
      <w:r w:rsidRPr="002513B4">
        <w:rPr>
          <w:lang w:val="en-US"/>
        </w:rPr>
        <w:lastRenderedPageBreak/>
        <w:t>3.4</w:t>
      </w:r>
      <w:r w:rsidRPr="002513B4">
        <w:rPr>
          <w:lang w:val="en-US"/>
        </w:rPr>
        <w:tab/>
      </w:r>
      <w:r w:rsidR="00936792" w:rsidRPr="002513B4">
        <w:rPr>
          <w:lang w:val="en-US"/>
        </w:rPr>
        <w:t xml:space="preserve">Survey </w:t>
      </w:r>
      <w:r w:rsidR="00EE74F9" w:rsidRPr="002513B4">
        <w:rPr>
          <w:lang w:val="en-US"/>
        </w:rPr>
        <w:t xml:space="preserve">Vendor </w:t>
      </w:r>
      <w:r w:rsidR="00936792" w:rsidRPr="002513B4">
        <w:rPr>
          <w:lang w:val="en-US"/>
        </w:rPr>
        <w:t xml:space="preserve">Minimum </w:t>
      </w:r>
      <w:r w:rsidR="00EE74F9" w:rsidRPr="002513B4">
        <w:rPr>
          <w:lang w:val="en-US"/>
        </w:rPr>
        <w:t>Business Requirements</w:t>
      </w:r>
      <w:bookmarkEnd w:id="93"/>
      <w:bookmarkEnd w:id="94"/>
      <w:bookmarkEnd w:id="95"/>
      <w:bookmarkEnd w:id="96"/>
      <w:bookmarkEnd w:id="97"/>
    </w:p>
    <w:p w14:paraId="4FFB1601" w14:textId="1C09710F" w:rsidR="00F6357D" w:rsidRPr="002513B4" w:rsidRDefault="00F6357D" w:rsidP="00EE74F9">
      <w:pPr>
        <w:pStyle w:val="BodyText"/>
        <w:rPr>
          <w:lang w:val="en-US"/>
        </w:rPr>
      </w:pPr>
      <w:r w:rsidRPr="002513B4">
        <w:rPr>
          <w:lang w:val="en-US"/>
        </w:rPr>
        <w:t xml:space="preserve">CMS believes that an independent third-party survey vendor will be better able to solicit unbiased responses to the HHCAHPS Survey than HHAs; therefore, CMS requires that HHAs contract with an independent, CMS-approved HHCAHPS Survey vendor to administer the HHCAHPS Survey on their behalf. </w:t>
      </w:r>
    </w:p>
    <w:p w14:paraId="783B161F" w14:textId="0AF81BCC" w:rsidR="00EE74F9" w:rsidRPr="002513B4" w:rsidRDefault="00EE74F9" w:rsidP="00EE74F9">
      <w:pPr>
        <w:pStyle w:val="BodyText"/>
        <w:rPr>
          <w:lang w:val="en-US"/>
        </w:rPr>
      </w:pPr>
      <w:r w:rsidRPr="002513B4">
        <w:rPr>
          <w:lang w:val="en-US"/>
        </w:rPr>
        <w:t>Survey vendors seeking approval as an HHCAHPS Survey vendor must have the capability and capacity to collect and process all survey-related data for the survey administration mode</w:t>
      </w:r>
      <w:r w:rsidR="00D037F1" w:rsidRPr="002513B4">
        <w:rPr>
          <w:lang w:val="en-US"/>
        </w:rPr>
        <w:t>(s)</w:t>
      </w:r>
      <w:r w:rsidRPr="002513B4">
        <w:rPr>
          <w:lang w:val="en-US"/>
        </w:rPr>
        <w:t xml:space="preserve"> </w:t>
      </w:r>
      <w:r w:rsidR="00AD105F" w:rsidRPr="002513B4">
        <w:rPr>
          <w:lang w:val="en-US"/>
        </w:rPr>
        <w:t xml:space="preserve">(mail-only, telephone-only, and/or mixed-mode surveys) </w:t>
      </w:r>
      <w:r w:rsidRPr="002513B4">
        <w:rPr>
          <w:lang w:val="en-US"/>
        </w:rPr>
        <w:t xml:space="preserve">they intend to use on the HHCAHPS Survey following standardized procedures and guidelines. </w:t>
      </w:r>
      <w:r w:rsidR="00D92093" w:rsidRPr="002513B4">
        <w:rPr>
          <w:lang w:val="en-US"/>
        </w:rPr>
        <w:t xml:space="preserve">If the vendor does not have all required capabilities for the mode(s) in which it is applying, to be considered for approval, it must formally contract with a subcontractor that meets the requirements needed for CMS approval. </w:t>
      </w:r>
      <w:r w:rsidRPr="002513B4">
        <w:rPr>
          <w:lang w:val="en-US"/>
        </w:rPr>
        <w:t xml:space="preserve">The business requirements that survey vendors must meet are described in </w:t>
      </w:r>
      <w:hyperlink r:id="rId62" w:history="1">
        <w:r w:rsidR="0005796E" w:rsidRPr="002513B4">
          <w:rPr>
            <w:rStyle w:val="Hyperlink"/>
            <w:b/>
            <w:bCs/>
            <w:i/>
            <w:iCs/>
            <w:lang w:val="en-US"/>
          </w:rPr>
          <w:t xml:space="preserve">Minimum Business Requirements </w:t>
        </w:r>
        <w:r w:rsidR="0005796E" w:rsidRPr="002513B4">
          <w:rPr>
            <w:rStyle w:val="Hyperlink"/>
            <w:b/>
            <w:bCs/>
            <w:lang w:val="en-US"/>
          </w:rPr>
          <w:t>document</w:t>
        </w:r>
      </w:hyperlink>
      <w:r w:rsidR="0005796E" w:rsidRPr="002513B4">
        <w:rPr>
          <w:lang w:val="en-US"/>
        </w:rPr>
        <w:t> </w:t>
      </w:r>
      <w:r w:rsidR="0005796E" w:rsidRPr="002513B4">
        <w:rPr>
          <w:noProof/>
          <w:lang w:val="en-US"/>
        </w:rPr>
        <w:drawing>
          <wp:inline distT="0" distB="0" distL="0" distR="0" wp14:anchorId="3F4B9823" wp14:editId="52184593">
            <wp:extent cx="95250" cy="95250"/>
            <wp:effectExtent l="0" t="0" r="0" b="0"/>
            <wp:docPr id="1309052631" name="Graphic 1309052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A23153" w:rsidRPr="002513B4">
        <w:rPr>
          <w:lang w:val="en-US"/>
        </w:rPr>
        <w:t xml:space="preserve"> located on the HHCAHPS website.</w:t>
      </w:r>
    </w:p>
    <w:p w14:paraId="0DCC984E" w14:textId="5BFBAED6" w:rsidR="008D28E4" w:rsidRPr="002513B4" w:rsidRDefault="008D28E4" w:rsidP="00EE74F9">
      <w:pPr>
        <w:pStyle w:val="BodyText"/>
        <w:rPr>
          <w:lang w:val="en-US"/>
        </w:rPr>
      </w:pPr>
      <w:r w:rsidRPr="002513B4">
        <w:rPr>
          <w:lang w:val="en-US"/>
        </w:rPr>
        <w:t>The HHCAHPS minimum business requirements (MBRs) are applicable to survey organizations at the time of application. The vendor must continue to meet these MBRs after an initial application is submitted up to and any point after approval is granted by CMS.</w:t>
      </w:r>
    </w:p>
    <w:p w14:paraId="2DF70D55" w14:textId="77777777" w:rsidR="00EE74F9" w:rsidRPr="002513B4" w:rsidRDefault="00EE74F9" w:rsidP="00EE74F9">
      <w:pPr>
        <w:pStyle w:val="BodyText"/>
        <w:rPr>
          <w:lang w:val="en-US"/>
        </w:rPr>
      </w:pPr>
    </w:p>
    <w:p w14:paraId="79C74500" w14:textId="77777777" w:rsidR="00EE74F9" w:rsidRPr="002513B4" w:rsidRDefault="00EE74F9" w:rsidP="0061584A">
      <w:pPr>
        <w:pStyle w:val="ListBullet"/>
        <w:numPr>
          <w:ilvl w:val="0"/>
          <w:numId w:val="0"/>
        </w:numPr>
        <w:sectPr w:rsidR="00EE74F9" w:rsidRPr="002513B4" w:rsidSect="00C85F17">
          <w:headerReference w:type="even" r:id="rId63"/>
          <w:headerReference w:type="default" r:id="rId64"/>
          <w:footerReference w:type="even" r:id="rId65"/>
          <w:headerReference w:type="first" r:id="rId66"/>
          <w:pgSz w:w="12240" w:h="15840" w:code="1"/>
          <w:pgMar w:top="1440" w:right="1440" w:bottom="1440" w:left="1440" w:header="720" w:footer="720" w:gutter="0"/>
          <w:cols w:space="720"/>
          <w:titlePg/>
        </w:sectPr>
      </w:pPr>
    </w:p>
    <w:p w14:paraId="6CAF0A02" w14:textId="0673E873" w:rsidR="00EE74F9" w:rsidRPr="002513B4" w:rsidRDefault="009F27F5" w:rsidP="00EE74F9">
      <w:pPr>
        <w:pStyle w:val="Heading2"/>
        <w:rPr>
          <w:lang w:val="en-US"/>
        </w:rPr>
      </w:pPr>
      <w:bookmarkStart w:id="98" w:name="_Toc251318130"/>
      <w:bookmarkStart w:id="99" w:name="_Toc343765393"/>
      <w:bookmarkStart w:id="100" w:name="_Toc402776465"/>
      <w:bookmarkStart w:id="101" w:name="_Toc217305566"/>
      <w:r w:rsidRPr="002513B4">
        <w:rPr>
          <w:lang w:val="en-US"/>
        </w:rPr>
        <w:lastRenderedPageBreak/>
        <w:t>Chapter</w:t>
      </w:r>
      <w:r w:rsidR="00621153" w:rsidRPr="002513B4">
        <w:rPr>
          <w:lang w:val="en-US"/>
        </w:rPr>
        <w:t xml:space="preserve"> 4:</w:t>
      </w:r>
      <w:r w:rsidR="00EE74F9" w:rsidRPr="002513B4">
        <w:rPr>
          <w:lang w:val="en-US"/>
        </w:rPr>
        <w:t xml:space="preserve"> Home Health Care CAHPS Survey</w:t>
      </w:r>
      <w:r w:rsidR="00EE74F9" w:rsidRPr="002513B4">
        <w:rPr>
          <w:lang w:val="en-US"/>
        </w:rPr>
        <w:br/>
        <w:t>Sampling Procedures</w:t>
      </w:r>
      <w:bookmarkEnd w:id="98"/>
      <w:bookmarkEnd w:id="99"/>
      <w:bookmarkEnd w:id="100"/>
      <w:bookmarkEnd w:id="101"/>
    </w:p>
    <w:p w14:paraId="121FD60E" w14:textId="6155A37F" w:rsidR="00EE74F9" w:rsidRPr="002513B4" w:rsidRDefault="0034388C" w:rsidP="00EE74F9">
      <w:pPr>
        <w:pStyle w:val="Heading3"/>
        <w:rPr>
          <w:lang w:val="en-US"/>
        </w:rPr>
      </w:pPr>
      <w:bookmarkStart w:id="102" w:name="_Toc402776466"/>
      <w:bookmarkStart w:id="103" w:name="_Toc407633054"/>
      <w:bookmarkStart w:id="104" w:name="_Toc24713330"/>
      <w:bookmarkStart w:id="105" w:name="_Toc217305567"/>
      <w:r w:rsidRPr="002513B4">
        <w:rPr>
          <w:lang w:val="en-US"/>
        </w:rPr>
        <w:t>4.1</w:t>
      </w:r>
      <w:r w:rsidRPr="002513B4">
        <w:rPr>
          <w:lang w:val="en-US"/>
        </w:rPr>
        <w:tab/>
      </w:r>
      <w:r w:rsidR="00EE74F9" w:rsidRPr="002513B4">
        <w:rPr>
          <w:lang w:val="en-US"/>
        </w:rPr>
        <w:t>Overview</w:t>
      </w:r>
      <w:bookmarkEnd w:id="102"/>
      <w:bookmarkEnd w:id="103"/>
      <w:bookmarkEnd w:id="104"/>
      <w:bookmarkEnd w:id="105"/>
    </w:p>
    <w:p w14:paraId="6A639D24" w14:textId="1B6AD221" w:rsidR="00EE74F9" w:rsidRPr="002513B4" w:rsidRDefault="00EE74F9" w:rsidP="00EE74F9">
      <w:pPr>
        <w:pStyle w:val="BodyText"/>
        <w:rPr>
          <w:lang w:val="en-US"/>
        </w:rPr>
      </w:pPr>
      <w:r w:rsidRPr="002513B4">
        <w:rPr>
          <w:lang w:val="en-US"/>
        </w:rPr>
        <w:t>This chapter describes the procedures survey vendors should use to request a file of patients from the HHA, identify patients eligible for the survey, construct a sampling frame, and select a patient sample each month. The sampling procedures described in this chapter were developed to ensure standardized administration of the HHCAHPS</w:t>
      </w:r>
      <w:r w:rsidRPr="002513B4" w:rsidDel="00CB56F9">
        <w:rPr>
          <w:lang w:val="en-US"/>
        </w:rPr>
        <w:t xml:space="preserve"> </w:t>
      </w:r>
      <w:r w:rsidRPr="002513B4">
        <w:rPr>
          <w:lang w:val="en-US"/>
        </w:rPr>
        <w:t>Survey by all survey vendors and to ensure comparability of the data and survey results that are publicly reported. These sections are organized in the general chronological order in which the corresponding tasks will take place.</w:t>
      </w:r>
    </w:p>
    <w:p w14:paraId="0A9067EA" w14:textId="750AF738" w:rsidR="00EE74F9" w:rsidRPr="002513B4" w:rsidRDefault="00EE74F9" w:rsidP="00EE74F9">
      <w:pPr>
        <w:pStyle w:val="List"/>
        <w:keepNext w:val="0"/>
        <w:keepLines w:val="0"/>
        <w:spacing w:after="240" w:line="320" w:lineRule="atLeast"/>
        <w:ind w:left="1166" w:hanging="806"/>
      </w:pPr>
      <w:r w:rsidRPr="002513B4">
        <w:rPr>
          <w:b/>
          <w:bCs/>
          <w:color w:val="1F497D"/>
        </w:rPr>
        <w:t>Step 1:</w:t>
      </w:r>
      <w:r w:rsidR="00F37C23" w:rsidRPr="002513B4">
        <w:rPr>
          <w:b/>
          <w:bCs/>
          <w:color w:val="1F497D"/>
        </w:rPr>
        <w:tab/>
      </w:r>
      <w:r w:rsidR="00F37C23" w:rsidRPr="002513B4">
        <w:rPr>
          <w:b/>
          <w:bCs/>
          <w:color w:val="1F497D"/>
        </w:rPr>
        <w:tab/>
      </w:r>
      <w:r w:rsidRPr="002513B4">
        <w:t>Obtain a monthly patient information file each month from each client HHA.</w:t>
      </w:r>
    </w:p>
    <w:p w14:paraId="60EF3CD2" w14:textId="63897433" w:rsidR="00EE74F9" w:rsidRPr="002513B4" w:rsidRDefault="00EE74F9" w:rsidP="00F37C23">
      <w:pPr>
        <w:pStyle w:val="List"/>
        <w:keepNext w:val="0"/>
        <w:keepLines w:val="0"/>
        <w:spacing w:after="240" w:line="320" w:lineRule="atLeast"/>
        <w:ind w:left="1440" w:hanging="1080"/>
      </w:pPr>
      <w:r w:rsidRPr="002513B4">
        <w:rPr>
          <w:b/>
          <w:bCs/>
          <w:color w:val="1F497D"/>
        </w:rPr>
        <w:t>Step 2:</w:t>
      </w:r>
      <w:r w:rsidRPr="002513B4">
        <w:rPr>
          <w:b/>
          <w:bCs/>
          <w:color w:val="1F497D"/>
        </w:rPr>
        <w:tab/>
      </w:r>
      <w:r w:rsidRPr="002513B4">
        <w:t xml:space="preserve">Examine the </w:t>
      </w:r>
      <w:r w:rsidR="005749CA" w:rsidRPr="002513B4">
        <w:t xml:space="preserve">patient </w:t>
      </w:r>
      <w:r w:rsidRPr="002513B4">
        <w:t>file for completeness and work with the HHA to obtain missing data. Process and check the file for duplicate information.</w:t>
      </w:r>
    </w:p>
    <w:p w14:paraId="54FD22B3" w14:textId="51AB66F2" w:rsidR="00EE74F9" w:rsidRPr="002513B4" w:rsidRDefault="00EE74F9" w:rsidP="00EE74F9">
      <w:pPr>
        <w:pStyle w:val="List"/>
        <w:keepNext w:val="0"/>
        <w:keepLines w:val="0"/>
        <w:spacing w:after="240" w:line="320" w:lineRule="atLeast"/>
        <w:ind w:left="1166" w:hanging="806"/>
      </w:pPr>
      <w:r w:rsidRPr="002513B4">
        <w:rPr>
          <w:b/>
          <w:bCs/>
          <w:color w:val="1F497D"/>
        </w:rPr>
        <w:t>Step 3:</w:t>
      </w:r>
      <w:r w:rsidR="00F37C23" w:rsidRPr="002513B4">
        <w:rPr>
          <w:b/>
          <w:bCs/>
          <w:color w:val="1F497D"/>
        </w:rPr>
        <w:tab/>
      </w:r>
      <w:r w:rsidRPr="002513B4">
        <w:rPr>
          <w:b/>
          <w:bCs/>
          <w:color w:val="1F497D"/>
        </w:rPr>
        <w:tab/>
      </w:r>
      <w:r w:rsidRPr="002513B4">
        <w:t>Identify eligible patients and construct a sample frame.</w:t>
      </w:r>
    </w:p>
    <w:p w14:paraId="0E2901C6" w14:textId="0D3EDCA2" w:rsidR="00EE74F9" w:rsidRPr="002513B4" w:rsidRDefault="00EE74F9" w:rsidP="00EE74F9">
      <w:pPr>
        <w:pStyle w:val="List"/>
        <w:keepNext w:val="0"/>
        <w:keepLines w:val="0"/>
        <w:spacing w:after="240" w:line="320" w:lineRule="atLeast"/>
        <w:ind w:left="1166" w:hanging="806"/>
      </w:pPr>
      <w:r w:rsidRPr="002513B4">
        <w:rPr>
          <w:b/>
          <w:bCs/>
          <w:color w:val="1F497D"/>
        </w:rPr>
        <w:t>Step 4:</w:t>
      </w:r>
      <w:r w:rsidRPr="002513B4">
        <w:tab/>
      </w:r>
      <w:r w:rsidR="00F37C23" w:rsidRPr="002513B4">
        <w:tab/>
      </w:r>
      <w:r w:rsidRPr="002513B4">
        <w:t>Determine</w:t>
      </w:r>
      <w:r w:rsidR="005749CA" w:rsidRPr="002513B4">
        <w:t xml:space="preserve"> a</w:t>
      </w:r>
      <w:r w:rsidRPr="002513B4">
        <w:t xml:space="preserve"> </w:t>
      </w:r>
      <w:r w:rsidR="005749CA" w:rsidRPr="002513B4">
        <w:t xml:space="preserve">sampling rate </w:t>
      </w:r>
      <w:r w:rsidRPr="002513B4">
        <w:t>and select the sample for each HHA.</w:t>
      </w:r>
    </w:p>
    <w:p w14:paraId="5635CD1D" w14:textId="0FEDE690" w:rsidR="00EE74F9" w:rsidRPr="002513B4" w:rsidRDefault="00EE74F9" w:rsidP="00EE74F9">
      <w:pPr>
        <w:pStyle w:val="List"/>
        <w:keepNext w:val="0"/>
        <w:keepLines w:val="0"/>
        <w:spacing w:after="240" w:line="320" w:lineRule="atLeast"/>
        <w:ind w:left="1166" w:hanging="806"/>
      </w:pPr>
      <w:r w:rsidRPr="002513B4">
        <w:rPr>
          <w:b/>
          <w:bCs/>
          <w:color w:val="1F497D"/>
        </w:rPr>
        <w:t>Step 5:</w:t>
      </w:r>
      <w:r w:rsidRPr="002513B4">
        <w:rPr>
          <w:b/>
          <w:bCs/>
          <w:color w:val="1F497D"/>
        </w:rPr>
        <w:tab/>
      </w:r>
      <w:r w:rsidR="00F37C23" w:rsidRPr="002513B4">
        <w:rPr>
          <w:b/>
          <w:bCs/>
          <w:color w:val="1F497D"/>
        </w:rPr>
        <w:tab/>
      </w:r>
      <w:r w:rsidRPr="002513B4">
        <w:t>Verify or update patient contact information.</w:t>
      </w:r>
    </w:p>
    <w:p w14:paraId="690AB69C" w14:textId="059BB2F8" w:rsidR="00EE74F9" w:rsidRPr="002513B4" w:rsidRDefault="00EE74F9" w:rsidP="00EE74F9">
      <w:pPr>
        <w:pStyle w:val="List"/>
        <w:keepNext w:val="0"/>
        <w:keepLines w:val="0"/>
        <w:spacing w:after="240" w:line="320" w:lineRule="atLeast"/>
        <w:ind w:left="1166" w:hanging="806"/>
      </w:pPr>
      <w:r w:rsidRPr="002513B4">
        <w:rPr>
          <w:b/>
          <w:bCs/>
          <w:color w:val="1F497D"/>
        </w:rPr>
        <w:t>Step 6:</w:t>
      </w:r>
      <w:r w:rsidRPr="002513B4">
        <w:rPr>
          <w:b/>
          <w:bCs/>
          <w:color w:val="1F497D"/>
        </w:rPr>
        <w:tab/>
      </w:r>
      <w:r w:rsidR="00F37C23" w:rsidRPr="002513B4">
        <w:rPr>
          <w:b/>
          <w:bCs/>
          <w:color w:val="1F497D"/>
        </w:rPr>
        <w:tab/>
      </w:r>
      <w:r w:rsidRPr="002513B4">
        <w:t xml:space="preserve">Assign a unique sample identification </w:t>
      </w:r>
      <w:r w:rsidR="005749CA" w:rsidRPr="002513B4">
        <w:t xml:space="preserve">(SID) </w:t>
      </w:r>
      <w:r w:rsidRPr="002513B4">
        <w:t>number to each sample member.</w:t>
      </w:r>
    </w:p>
    <w:p w14:paraId="5B0C8026" w14:textId="23E52747" w:rsidR="00EE74F9" w:rsidRPr="002513B4" w:rsidRDefault="00EE74F9" w:rsidP="00EE74F9">
      <w:pPr>
        <w:pStyle w:val="List"/>
        <w:keepNext w:val="0"/>
        <w:keepLines w:val="0"/>
        <w:spacing w:after="240" w:line="320" w:lineRule="atLeast"/>
        <w:ind w:left="1166" w:hanging="806"/>
      </w:pPr>
      <w:r w:rsidRPr="002513B4">
        <w:rPr>
          <w:b/>
          <w:bCs/>
          <w:color w:val="1F497D"/>
        </w:rPr>
        <w:t>Step 7:</w:t>
      </w:r>
      <w:r w:rsidRPr="002513B4">
        <w:tab/>
      </w:r>
      <w:r w:rsidR="00F37C23" w:rsidRPr="002513B4">
        <w:tab/>
      </w:r>
      <w:r w:rsidRPr="002513B4">
        <w:t>Finalize the monthly sample file and initiate data collection activities.</w:t>
      </w:r>
    </w:p>
    <w:p w14:paraId="099D06DA" w14:textId="2AE98147" w:rsidR="00EE74F9" w:rsidRPr="002513B4" w:rsidRDefault="0034388C" w:rsidP="00EE74F9">
      <w:pPr>
        <w:pStyle w:val="Heading3"/>
        <w:rPr>
          <w:lang w:val="en-US"/>
        </w:rPr>
      </w:pPr>
      <w:bookmarkStart w:id="106" w:name="_Toc24713331"/>
      <w:bookmarkStart w:id="107" w:name="_Toc217305568"/>
      <w:r w:rsidRPr="002513B4">
        <w:rPr>
          <w:lang w:val="en-US"/>
        </w:rPr>
        <w:t>4.2</w:t>
      </w:r>
      <w:r w:rsidRPr="002513B4">
        <w:rPr>
          <w:lang w:val="en-US"/>
        </w:rPr>
        <w:tab/>
      </w:r>
      <w:r w:rsidR="00EE74F9" w:rsidRPr="002513B4">
        <w:rPr>
          <w:lang w:val="en-US"/>
        </w:rPr>
        <w:t>Documenting Sampling Processes for Vendor Oversight</w:t>
      </w:r>
      <w:bookmarkEnd w:id="106"/>
      <w:bookmarkEnd w:id="107"/>
    </w:p>
    <w:p w14:paraId="681C92E3" w14:textId="77777777" w:rsidR="00EE74F9" w:rsidRPr="002513B4" w:rsidRDefault="00EE74F9" w:rsidP="00EE74F9">
      <w:pPr>
        <w:pStyle w:val="BodyText"/>
        <w:rPr>
          <w:lang w:val="en-US"/>
        </w:rPr>
      </w:pPr>
      <w:r w:rsidRPr="002513B4">
        <w:rPr>
          <w:lang w:val="en-US"/>
        </w:rPr>
        <w:t xml:space="preserve">Vendors should document </w:t>
      </w:r>
      <w:proofErr w:type="gramStart"/>
      <w:r w:rsidRPr="002513B4">
        <w:rPr>
          <w:lang w:val="en-US"/>
        </w:rPr>
        <w:t>all of</w:t>
      </w:r>
      <w:proofErr w:type="gramEnd"/>
      <w:r w:rsidRPr="002513B4">
        <w:rPr>
          <w:lang w:val="en-US"/>
        </w:rPr>
        <w:t xml:space="preserve"> their sampling processes for survey oversight purposes, since the HHCAHPS</w:t>
      </w:r>
      <w:r w:rsidR="00F2734F" w:rsidRPr="002513B4">
        <w:rPr>
          <w:lang w:val="en-US"/>
        </w:rPr>
        <w:t xml:space="preserve"> Survey</w:t>
      </w:r>
      <w:r w:rsidRPr="002513B4">
        <w:rPr>
          <w:lang w:val="en-US"/>
        </w:rPr>
        <w:t xml:space="preserve"> Coordination Team will check each vendor’s sampling procedures and documentation during oversight telephone calls or visits, including documentation of all sampling quality control checks conducted by vendor staff.</w:t>
      </w:r>
    </w:p>
    <w:p w14:paraId="2B3C096C" w14:textId="5AF52F82" w:rsidR="00EE74F9" w:rsidRPr="002513B4" w:rsidRDefault="0034388C" w:rsidP="00EE74F9">
      <w:pPr>
        <w:pStyle w:val="Heading3"/>
        <w:rPr>
          <w:lang w:val="en-US"/>
        </w:rPr>
      </w:pPr>
      <w:bookmarkStart w:id="108" w:name="_Toc402776467"/>
      <w:bookmarkStart w:id="109" w:name="_Toc407633055"/>
      <w:bookmarkStart w:id="110" w:name="_Toc24713332"/>
      <w:bookmarkStart w:id="111" w:name="_Toc217305569"/>
      <w:r w:rsidRPr="002513B4">
        <w:rPr>
          <w:lang w:val="en-US"/>
        </w:rPr>
        <w:lastRenderedPageBreak/>
        <w:t>4.3</w:t>
      </w:r>
      <w:r w:rsidRPr="002513B4">
        <w:rPr>
          <w:lang w:val="en-US"/>
        </w:rPr>
        <w:tab/>
      </w:r>
      <w:r w:rsidR="00EE74F9" w:rsidRPr="002513B4">
        <w:rPr>
          <w:lang w:val="en-US"/>
        </w:rPr>
        <w:t>Step 1: Obtain a Monthly Patient Information File From Each Home Health Agency Client</w:t>
      </w:r>
      <w:bookmarkEnd w:id="108"/>
      <w:bookmarkEnd w:id="109"/>
      <w:bookmarkEnd w:id="110"/>
      <w:bookmarkEnd w:id="111"/>
    </w:p>
    <w:p w14:paraId="394250D9" w14:textId="234AAB97" w:rsidR="00EE74F9" w:rsidRPr="002513B4" w:rsidRDefault="0034388C" w:rsidP="0002559B">
      <w:pPr>
        <w:pStyle w:val="Heading4"/>
        <w:tabs>
          <w:tab w:val="left" w:pos="720"/>
        </w:tabs>
        <w:rPr>
          <w:lang w:val="en-US"/>
        </w:rPr>
      </w:pPr>
      <w:r w:rsidRPr="002513B4">
        <w:rPr>
          <w:lang w:val="en-US"/>
        </w:rPr>
        <w:t>4.3.1</w:t>
      </w:r>
      <w:r w:rsidR="0002559B" w:rsidRPr="002513B4">
        <w:rPr>
          <w:lang w:val="en-US"/>
        </w:rPr>
        <w:tab/>
      </w:r>
      <w:r w:rsidR="00EE74F9" w:rsidRPr="002513B4">
        <w:rPr>
          <w:lang w:val="en-US"/>
        </w:rPr>
        <w:t>Monthly Patient Information Files</w:t>
      </w:r>
    </w:p>
    <w:p w14:paraId="40245BCA" w14:textId="2812275D" w:rsidR="00EE74F9" w:rsidRPr="002513B4" w:rsidRDefault="00EE74F9" w:rsidP="00EE74F9">
      <w:pPr>
        <w:pStyle w:val="BodyText"/>
        <w:rPr>
          <w:lang w:val="en-US"/>
        </w:rPr>
      </w:pPr>
      <w:r w:rsidRPr="002513B4">
        <w:rPr>
          <w:lang w:val="en-US"/>
        </w:rPr>
        <w:t xml:space="preserve">HHAs </w:t>
      </w:r>
      <w:r w:rsidR="00F912A6" w:rsidRPr="002513B4">
        <w:rPr>
          <w:lang w:val="en-US"/>
        </w:rPr>
        <w:t xml:space="preserve">participating in </w:t>
      </w:r>
      <w:r w:rsidRPr="002513B4">
        <w:rPr>
          <w:lang w:val="en-US"/>
        </w:rPr>
        <w:t xml:space="preserve">the HHCAHPS Survey must submit a monthly patient information file to their contracted HHCAHPS Survey vendor. Survey vendors must work with each client HHA to (1) obtain all required data elements for </w:t>
      </w:r>
      <w:r w:rsidRPr="002513B4">
        <w:rPr>
          <w:b/>
          <w:bCs/>
          <w:lang w:val="en-US"/>
        </w:rPr>
        <w:t>every eligible patient served during the sample month</w:t>
      </w:r>
      <w:r w:rsidRPr="002513B4">
        <w:rPr>
          <w:lang w:val="en-US"/>
        </w:rPr>
        <w:t xml:space="preserve"> and (2) ensure that their client HHA provides these data by an agreed-upon date each month. Survey vendors should request from each of their client HHAs a file, referred to as a monthly patient information file, containing specific information about all patients </w:t>
      </w:r>
      <w:r w:rsidRPr="002513B4">
        <w:rPr>
          <w:i/>
          <w:iCs/>
          <w:lang w:val="en-US"/>
        </w:rPr>
        <w:t>served</w:t>
      </w:r>
      <w:r w:rsidRPr="002513B4">
        <w:rPr>
          <w:lang w:val="en-US"/>
        </w:rPr>
        <w:t xml:space="preserve"> at any time during the sample month, including those who were discharged during the sample month. </w:t>
      </w:r>
      <w:r w:rsidRPr="002513B4">
        <w:rPr>
          <w:rFonts w:eastAsia="Batang"/>
          <w:lang w:val="en-US"/>
        </w:rPr>
        <w:t xml:space="preserve">The monthly HHA files must contain information that is at both the </w:t>
      </w:r>
      <w:r w:rsidRPr="002513B4">
        <w:rPr>
          <w:rFonts w:eastAsia="Batang"/>
          <w:i/>
          <w:iCs/>
          <w:lang w:val="en-US"/>
        </w:rPr>
        <w:t>agency</w:t>
      </w:r>
      <w:r w:rsidRPr="002513B4">
        <w:rPr>
          <w:rFonts w:eastAsia="Batang"/>
          <w:lang w:val="en-US"/>
        </w:rPr>
        <w:t xml:space="preserve"> level and the </w:t>
      </w:r>
      <w:r w:rsidRPr="002513B4">
        <w:rPr>
          <w:rFonts w:eastAsia="Batang"/>
          <w:i/>
          <w:iCs/>
          <w:lang w:val="en-US"/>
        </w:rPr>
        <w:t>patient</w:t>
      </w:r>
      <w:r w:rsidRPr="002513B4">
        <w:rPr>
          <w:rFonts w:eastAsia="Batang"/>
          <w:lang w:val="en-US"/>
        </w:rPr>
        <w:t xml:space="preserve"> level</w:t>
      </w:r>
      <w:r w:rsidRPr="002513B4">
        <w:rPr>
          <w:lang w:val="en-US"/>
        </w:rPr>
        <w:t xml:space="preserve">. </w:t>
      </w:r>
      <w:r w:rsidR="004417F4" w:rsidRPr="002513B4">
        <w:rPr>
          <w:lang w:val="en-US"/>
        </w:rPr>
        <w:t>T</w:t>
      </w:r>
      <w:r w:rsidR="00D818AA" w:rsidRPr="002513B4">
        <w:rPr>
          <w:lang w:val="en-US"/>
        </w:rPr>
        <w:t>his</w:t>
      </w:r>
      <w:r w:rsidRPr="002513B4">
        <w:rPr>
          <w:lang w:val="en-US"/>
        </w:rPr>
        <w:t xml:space="preserve"> file should</w:t>
      </w:r>
      <w:r w:rsidR="00770C2A" w:rsidRPr="002513B4">
        <w:rPr>
          <w:lang w:val="en-US"/>
        </w:rPr>
        <w:t xml:space="preserve"> also</w:t>
      </w:r>
      <w:r w:rsidRPr="002513B4">
        <w:rPr>
          <w:lang w:val="en-US"/>
        </w:rPr>
        <w:t xml:space="preserve"> include patients served by all branches in all states falling under the same CMS Certification Number (CCN).</w:t>
      </w:r>
    </w:p>
    <w:p w14:paraId="4DE22EBF" w14:textId="1A8742C6" w:rsidR="00EE74F9" w:rsidRPr="002513B4" w:rsidRDefault="0034388C" w:rsidP="00EE74F9">
      <w:pPr>
        <w:pStyle w:val="Heading4"/>
        <w:rPr>
          <w:lang w:val="en-US"/>
        </w:rPr>
      </w:pPr>
      <w:r w:rsidRPr="002513B4">
        <w:rPr>
          <w:lang w:val="en-US"/>
        </w:rPr>
        <w:t>4.3.2</w:t>
      </w:r>
      <w:r w:rsidR="0002559B" w:rsidRPr="002513B4">
        <w:rPr>
          <w:lang w:val="en-US"/>
        </w:rPr>
        <w:tab/>
      </w:r>
      <w:r w:rsidR="00EE74F9" w:rsidRPr="002513B4">
        <w:rPr>
          <w:lang w:val="en-US"/>
        </w:rPr>
        <w:t>Patient Eligibility Requirements</w:t>
      </w:r>
    </w:p>
    <w:p w14:paraId="79283178" w14:textId="77777777" w:rsidR="00EE74F9" w:rsidRPr="002513B4" w:rsidRDefault="00EE74F9" w:rsidP="00EE74F9">
      <w:pPr>
        <w:pStyle w:val="BodyText"/>
        <w:rPr>
          <w:lang w:val="en-US"/>
        </w:rPr>
      </w:pPr>
      <w:r w:rsidRPr="002513B4">
        <w:rPr>
          <w:lang w:val="en-US"/>
        </w:rPr>
        <w:t>HHAs should</w:t>
      </w:r>
      <w:r w:rsidRPr="002513B4">
        <w:rPr>
          <w:b/>
          <w:bCs/>
          <w:lang w:val="en-US"/>
        </w:rPr>
        <w:t xml:space="preserve"> include</w:t>
      </w:r>
      <w:r w:rsidRPr="002513B4">
        <w:rPr>
          <w:lang w:val="en-US"/>
        </w:rPr>
        <w:t xml:space="preserve"> in the files submitted to survey vendors all patients who meet the HHCAHPS Survey eligibility criteria (criteria </w:t>
      </w:r>
      <w:r w:rsidR="0011660E" w:rsidRPr="002513B4">
        <w:rPr>
          <w:lang w:val="en-US"/>
        </w:rPr>
        <w:t xml:space="preserve">with an asterisk </w:t>
      </w:r>
      <w:r w:rsidR="00CB4724" w:rsidRPr="002513B4">
        <w:rPr>
          <w:lang w:val="en-US"/>
        </w:rPr>
        <w:t xml:space="preserve">(*) </w:t>
      </w:r>
      <w:r w:rsidRPr="002513B4">
        <w:rPr>
          <w:lang w:val="en-US"/>
        </w:rPr>
        <w:t>are explained more fully in paragraphs that follow):</w:t>
      </w:r>
    </w:p>
    <w:p w14:paraId="15FED1DE" w14:textId="77777777" w:rsidR="00EE74F9" w:rsidRPr="002513B4" w:rsidRDefault="00EE74F9" w:rsidP="006C76C8">
      <w:pPr>
        <w:pStyle w:val="ListBullet"/>
      </w:pPr>
      <w:r w:rsidRPr="002513B4">
        <w:t>Patients who are at least 18 years of age by the end of the sample month;</w:t>
      </w:r>
    </w:p>
    <w:p w14:paraId="6BC5DC21" w14:textId="77777777" w:rsidR="00EE74F9" w:rsidRPr="002513B4" w:rsidRDefault="00EE74F9" w:rsidP="006C76C8">
      <w:pPr>
        <w:pStyle w:val="ListBullet"/>
      </w:pPr>
      <w:r w:rsidRPr="002513B4">
        <w:t>Patients whose home care was paid for by Medicare or Medicaid. This includes patients who are enrolled in Medicare fee-for-service plans and those enrolled in Medicare Advantage (MA) plans or Medicaid managed care health plans.</w:t>
      </w:r>
    </w:p>
    <w:p w14:paraId="209ADDD1" w14:textId="77777777" w:rsidR="00EE74F9" w:rsidRPr="002513B4" w:rsidRDefault="00EE74F9" w:rsidP="006C76C8">
      <w:pPr>
        <w:pStyle w:val="ListBullet"/>
      </w:pPr>
      <w:r w:rsidRPr="002513B4">
        <w:t>Patients who had at least one home health visit for skilled nursing care, physical therapy, occupational therapy, or speech therapy during the sample month*;</w:t>
      </w:r>
    </w:p>
    <w:p w14:paraId="703C7044" w14:textId="77777777" w:rsidR="00EE74F9" w:rsidRPr="002513B4" w:rsidRDefault="00EE74F9" w:rsidP="006C76C8">
      <w:pPr>
        <w:pStyle w:val="ListBullet"/>
      </w:pPr>
      <w:r w:rsidRPr="002513B4">
        <w:t>Patients who had at least two home health visits for skilled nursing care, physical therapy, occupational therapy, or speech therapy during the lookback period (includes the sample month and the preceding month)*;</w:t>
      </w:r>
    </w:p>
    <w:p w14:paraId="59ABDCA2" w14:textId="77777777" w:rsidR="00EE74F9" w:rsidRPr="002513B4" w:rsidRDefault="00EE74F9" w:rsidP="006C76C8">
      <w:pPr>
        <w:pStyle w:val="ListBullet"/>
      </w:pPr>
      <w:r w:rsidRPr="002513B4">
        <w:t>Patients who are not deceased;</w:t>
      </w:r>
    </w:p>
    <w:p w14:paraId="313C1D7A" w14:textId="77777777" w:rsidR="00EE74F9" w:rsidRPr="002513B4" w:rsidRDefault="00EE74F9" w:rsidP="006C76C8">
      <w:pPr>
        <w:pStyle w:val="ListBullet"/>
      </w:pPr>
      <w:r w:rsidRPr="002513B4">
        <w:t>Patients who are not currently receiving hospice care; and</w:t>
      </w:r>
    </w:p>
    <w:p w14:paraId="6A439700" w14:textId="77777777" w:rsidR="00EE74F9" w:rsidRPr="002513B4" w:rsidRDefault="00EE74F9" w:rsidP="006C76C8">
      <w:pPr>
        <w:pStyle w:val="ListBullet"/>
      </w:pPr>
      <w:r w:rsidRPr="002513B4">
        <w:t>Patients who received home visits for services other than routine maternity care in the sample month.*</w:t>
      </w:r>
    </w:p>
    <w:p w14:paraId="3E04D85B" w14:textId="77777777" w:rsidR="00EE74F9" w:rsidRPr="002513B4" w:rsidRDefault="00EE74F9" w:rsidP="00EE74F9">
      <w:pPr>
        <w:pStyle w:val="BodyText"/>
        <w:keepNext/>
        <w:rPr>
          <w:lang w:val="en-US"/>
        </w:rPr>
      </w:pPr>
      <w:r w:rsidRPr="002513B4">
        <w:rPr>
          <w:lang w:val="en-US"/>
        </w:rPr>
        <w:t xml:space="preserve">HHAs should </w:t>
      </w:r>
      <w:r w:rsidRPr="002513B4">
        <w:rPr>
          <w:b/>
          <w:bCs/>
          <w:lang w:val="en-US"/>
        </w:rPr>
        <w:t>exclude</w:t>
      </w:r>
      <w:r w:rsidRPr="002513B4">
        <w:rPr>
          <w:lang w:val="en-US"/>
        </w:rPr>
        <w:t xml:space="preserve"> from the file any patient who meets one of these criteria:</w:t>
      </w:r>
    </w:p>
    <w:p w14:paraId="5AECF07A" w14:textId="77777777" w:rsidR="00EE74F9" w:rsidRPr="002513B4" w:rsidRDefault="00EE74F9" w:rsidP="006C76C8">
      <w:pPr>
        <w:pStyle w:val="ListBullet"/>
      </w:pPr>
      <w:r w:rsidRPr="002513B4">
        <w:t>Patients who received home visits ONLY for routine maternity care in the sample month*;</w:t>
      </w:r>
    </w:p>
    <w:p w14:paraId="4ED254DB" w14:textId="77777777" w:rsidR="00EE74F9" w:rsidRPr="002513B4" w:rsidRDefault="00EE74F9" w:rsidP="006C76C8">
      <w:pPr>
        <w:pStyle w:val="ListBullet"/>
      </w:pPr>
      <w:r w:rsidRPr="002513B4">
        <w:t xml:space="preserve">Patients who have harmed or endangered the health or well-being of a home health provider or </w:t>
      </w:r>
      <w:r w:rsidRPr="002513B4">
        <w:rPr>
          <w:i/>
        </w:rPr>
        <w:t>attempted</w:t>
      </w:r>
      <w:r w:rsidRPr="002513B4">
        <w:t xml:space="preserve"> to harm or endanger the health or well-being of a home health provider*;</w:t>
      </w:r>
    </w:p>
    <w:p w14:paraId="760E3BE8" w14:textId="77777777" w:rsidR="00EE74F9" w:rsidRPr="002513B4" w:rsidRDefault="00EE74F9" w:rsidP="006C76C8">
      <w:pPr>
        <w:pStyle w:val="ListBullet"/>
      </w:pPr>
      <w:r w:rsidRPr="002513B4">
        <w:lastRenderedPageBreak/>
        <w:t>State-regulated patients*; and</w:t>
      </w:r>
    </w:p>
    <w:p w14:paraId="1B1D3822" w14:textId="77777777" w:rsidR="00EE74F9" w:rsidRPr="002513B4" w:rsidRDefault="00EE74F9" w:rsidP="006C76C8">
      <w:pPr>
        <w:pStyle w:val="ListBullet"/>
      </w:pPr>
      <w:r w:rsidRPr="002513B4">
        <w:t>Patients who requested that the HHA not release their name and contact information to anyone other than agency personnel, hereafter referred to in this manual as “no publicity” patients.*</w:t>
      </w:r>
    </w:p>
    <w:p w14:paraId="4AFF25C6" w14:textId="77777777" w:rsidR="00EE74F9" w:rsidRPr="002513B4" w:rsidRDefault="00EE74F9" w:rsidP="00EE74F9">
      <w:pPr>
        <w:pStyle w:val="BodyText"/>
        <w:rPr>
          <w:lang w:val="en-US"/>
        </w:rPr>
      </w:pPr>
      <w:r w:rsidRPr="002513B4">
        <w:rPr>
          <w:lang w:val="en-US"/>
        </w:rPr>
        <w:t>The next few paragraphs provide more information about selected eligibility criteria.</w:t>
      </w:r>
    </w:p>
    <w:p w14:paraId="39590A53" w14:textId="77777777" w:rsidR="00EE74F9" w:rsidRPr="002513B4" w:rsidRDefault="00EE74F9" w:rsidP="00EE74F9">
      <w:pPr>
        <w:pStyle w:val="BodyText"/>
        <w:rPr>
          <w:lang w:val="en-US"/>
        </w:rPr>
      </w:pPr>
      <w:r w:rsidRPr="002513B4">
        <w:rPr>
          <w:b/>
          <w:color w:val="1F497D"/>
          <w:lang w:val="en-US"/>
        </w:rPr>
        <w:t xml:space="preserve">Skilled Visits. </w:t>
      </w:r>
      <w:r w:rsidRPr="002513B4">
        <w:rPr>
          <w:lang w:val="en-US"/>
        </w:rPr>
        <w:t xml:space="preserve">For purposes of this survey, the basis for determination of a </w:t>
      </w:r>
      <w:r w:rsidRPr="002513B4">
        <w:rPr>
          <w:i/>
          <w:iCs/>
          <w:lang w:val="en-US"/>
        </w:rPr>
        <w:t>skilled visit</w:t>
      </w:r>
      <w:r w:rsidRPr="002513B4">
        <w:rPr>
          <w:lang w:val="en-US"/>
        </w:rPr>
        <w:t xml:space="preserve"> is the classification of the agency employee who visited the patient and not the reason for the home health visit, </w:t>
      </w:r>
      <w:proofErr w:type="gramStart"/>
      <w:r w:rsidRPr="002513B4">
        <w:rPr>
          <w:lang w:val="en-US"/>
        </w:rPr>
        <w:t>with the exception of</w:t>
      </w:r>
      <w:proofErr w:type="gramEnd"/>
      <w:r w:rsidRPr="002513B4">
        <w:rPr>
          <w:lang w:val="en-US"/>
        </w:rPr>
        <w:t xml:space="preserve"> patients who are receiving only routine maternity care or those who are discharged to hospice care. For a visit to be considered a “</w:t>
      </w:r>
      <w:r w:rsidRPr="002513B4">
        <w:rPr>
          <w:bCs/>
          <w:lang w:val="en-US"/>
        </w:rPr>
        <w:t>skilled visit</w:t>
      </w:r>
      <w:r w:rsidRPr="002513B4">
        <w:rPr>
          <w:lang w:val="en-US"/>
        </w:rPr>
        <w:t xml:space="preserve">” the agency employee must be classified as one of the following: registered nurse (RN), licensed practical nurse (LPN), physical therapist, physical therapist assistant, occupational therapist, occupational therapist assistant, speech therapist, or speech therapist assistant. </w:t>
      </w:r>
      <w:r w:rsidRPr="002513B4">
        <w:rPr>
          <w:bCs/>
          <w:lang w:val="en-US"/>
        </w:rPr>
        <w:t>Skilled visits</w:t>
      </w:r>
      <w:r w:rsidRPr="002513B4">
        <w:rPr>
          <w:lang w:val="en-US"/>
        </w:rPr>
        <w:t xml:space="preserve"> do not include visits made by any category of social worker, home health or personal care aide, or nursing aide.</w:t>
      </w:r>
    </w:p>
    <w:p w14:paraId="27EDF37C" w14:textId="1DC01C14" w:rsidR="00EE74F9" w:rsidRPr="002513B4" w:rsidRDefault="00EE74F9" w:rsidP="00EE74F9">
      <w:pPr>
        <w:pStyle w:val="BodyText"/>
        <w:rPr>
          <w:lang w:val="en-US"/>
        </w:rPr>
      </w:pPr>
      <w:r w:rsidRPr="002513B4">
        <w:rPr>
          <w:b/>
          <w:color w:val="1F497D"/>
          <w:lang w:val="en-US"/>
        </w:rPr>
        <w:t xml:space="preserve">Lookback Period. </w:t>
      </w:r>
      <w:r w:rsidRPr="002513B4">
        <w:rPr>
          <w:lang w:val="en-US"/>
        </w:rPr>
        <w:t xml:space="preserve">The </w:t>
      </w:r>
      <w:r w:rsidRPr="002513B4">
        <w:rPr>
          <w:i/>
          <w:iCs/>
          <w:lang w:val="en-US"/>
        </w:rPr>
        <w:t>lookback period</w:t>
      </w:r>
      <w:r w:rsidRPr="002513B4">
        <w:rPr>
          <w:lang w:val="en-US"/>
        </w:rPr>
        <w:t xml:space="preserve"> is defined as the sample month and the month immediately preceding the sample month. Patients must have had at least one skilled home care visit during the sample month and at least two skilled visits during the lookback period.</w:t>
      </w:r>
    </w:p>
    <w:p w14:paraId="6EA2B403" w14:textId="77777777" w:rsidR="00EE74F9" w:rsidRPr="002513B4" w:rsidRDefault="00EE74F9" w:rsidP="00EE74F9">
      <w:pPr>
        <w:pStyle w:val="BodyText"/>
        <w:rPr>
          <w:lang w:val="en-US"/>
        </w:rPr>
      </w:pPr>
      <w:r w:rsidRPr="002513B4">
        <w:rPr>
          <w:b/>
          <w:color w:val="1F497D"/>
          <w:lang w:val="en-US"/>
        </w:rPr>
        <w:t xml:space="preserve">Routine Maternity Care. </w:t>
      </w:r>
      <w:r w:rsidRPr="002513B4">
        <w:rPr>
          <w:lang w:val="en-US"/>
        </w:rPr>
        <w:t xml:space="preserve">Note that patients who receive home health care </w:t>
      </w:r>
      <w:r w:rsidRPr="002513B4">
        <w:rPr>
          <w:i/>
          <w:iCs/>
          <w:lang w:val="en-US"/>
        </w:rPr>
        <w:t>only for routine maternity care</w:t>
      </w:r>
      <w:r w:rsidRPr="002513B4">
        <w:rPr>
          <w:lang w:val="en-US"/>
        </w:rPr>
        <w:t xml:space="preserve"> are not eligible to be included in the survey. For purposes of this survey, routine maternity care is receiving a few visits for a normal delivery and would include, but is not limited to, assistance in breastfeeding and other educational services.</w:t>
      </w:r>
    </w:p>
    <w:p w14:paraId="72E0BA5E" w14:textId="77777777" w:rsidR="00EE74F9" w:rsidRPr="002513B4" w:rsidRDefault="00EE74F9" w:rsidP="00EE74F9">
      <w:pPr>
        <w:pStyle w:val="BodyText"/>
        <w:rPr>
          <w:lang w:val="en-US"/>
        </w:rPr>
      </w:pPr>
      <w:r w:rsidRPr="002513B4">
        <w:rPr>
          <w:b/>
          <w:color w:val="1F497D"/>
          <w:lang w:val="en-US"/>
        </w:rPr>
        <w:t xml:space="preserve">Endangering Home Health Providers. </w:t>
      </w:r>
      <w:r w:rsidRPr="002513B4">
        <w:rPr>
          <w:lang w:val="en-US"/>
        </w:rPr>
        <w:t xml:space="preserve">CMS will permit HHAs to exclude from the monthly patient information files information about patients who </w:t>
      </w:r>
      <w:r w:rsidRPr="002513B4">
        <w:rPr>
          <w:b/>
          <w:bCs/>
          <w:lang w:val="en-US"/>
        </w:rPr>
        <w:t xml:space="preserve">have </w:t>
      </w:r>
      <w:r w:rsidRPr="002513B4">
        <w:rPr>
          <w:b/>
          <w:bCs/>
          <w:i/>
          <w:iCs/>
          <w:lang w:val="en-US"/>
        </w:rPr>
        <w:t>harmed or endangered the health or well-being of a home health provider</w:t>
      </w:r>
      <w:r w:rsidRPr="002513B4">
        <w:rPr>
          <w:b/>
          <w:bCs/>
          <w:lang w:val="en-US"/>
        </w:rPr>
        <w:t xml:space="preserve"> or attempted to harm or endanger the health or well-being of a home health provider</w:t>
      </w:r>
      <w:r w:rsidRPr="002513B4">
        <w:rPr>
          <w:lang w:val="en-US"/>
        </w:rPr>
        <w:t>. For an HHA to use this exclusion criterion, the agency must document the reason for the exclusion and provide the reason to the HHCAHPS Survey vendor when the monthly patient information file is submitted to the vendor. The vendor will be requested to provide the reason for the exclusion during HHCAHPS oversight visits.</w:t>
      </w:r>
    </w:p>
    <w:p w14:paraId="325A9BEA" w14:textId="77777777" w:rsidR="00EE74F9" w:rsidRPr="002513B4" w:rsidRDefault="00EE74F9" w:rsidP="00EE74F9">
      <w:pPr>
        <w:pStyle w:val="BodyText"/>
        <w:rPr>
          <w:lang w:val="en-US"/>
        </w:rPr>
      </w:pPr>
      <w:r w:rsidRPr="002513B4">
        <w:rPr>
          <w:b/>
          <w:color w:val="1F497D"/>
          <w:lang w:val="en-US"/>
        </w:rPr>
        <w:t>State-Regulated Patients.</w:t>
      </w:r>
      <w:r w:rsidRPr="002513B4">
        <w:rPr>
          <w:color w:val="1F497D"/>
          <w:lang w:val="en-US"/>
        </w:rPr>
        <w:t xml:space="preserve"> </w:t>
      </w:r>
      <w:r w:rsidRPr="002513B4">
        <w:rPr>
          <w:lang w:val="en-US"/>
        </w:rPr>
        <w:t xml:space="preserve">Some </w:t>
      </w:r>
      <w:r w:rsidRPr="002513B4">
        <w:rPr>
          <w:i/>
          <w:iCs/>
          <w:lang w:val="en-US"/>
        </w:rPr>
        <w:t>states have regulations and laws</w:t>
      </w:r>
      <w:r w:rsidRPr="002513B4">
        <w:rPr>
          <w:lang w:val="en-US"/>
        </w:rPr>
        <w:t xml:space="preserve"> governing the release of patient information for patients with specific illnesses or conditions, and for other special patient populations, including patients with HIV/AIDS. It is the HHA’s responsibility to identify any applicable state laws and regulations and exclude state-regulated patients from the survey as required by law or regulation.</w:t>
      </w:r>
    </w:p>
    <w:p w14:paraId="591C2BE9" w14:textId="77777777" w:rsidR="00EE74F9" w:rsidRPr="002513B4" w:rsidRDefault="00EE74F9" w:rsidP="00EE74F9">
      <w:pPr>
        <w:pStyle w:val="BodyText"/>
        <w:rPr>
          <w:lang w:val="en-US"/>
        </w:rPr>
      </w:pPr>
      <w:r w:rsidRPr="002513B4">
        <w:rPr>
          <w:b/>
          <w:color w:val="1F497D"/>
          <w:lang w:val="en-US"/>
        </w:rPr>
        <w:lastRenderedPageBreak/>
        <w:t>No Publicity Patients</w:t>
      </w:r>
      <w:r w:rsidRPr="002513B4">
        <w:rPr>
          <w:b/>
          <w:lang w:val="en-US"/>
        </w:rPr>
        <w:t>.</w:t>
      </w:r>
      <w:r w:rsidRPr="002513B4">
        <w:rPr>
          <w:lang w:val="en-US"/>
        </w:rPr>
        <w:t xml:space="preserve"> HHAs should also exclude information about </w:t>
      </w:r>
      <w:r w:rsidRPr="002513B4">
        <w:rPr>
          <w:i/>
          <w:iCs/>
          <w:lang w:val="en-US"/>
        </w:rPr>
        <w:t xml:space="preserve">no publicity patients </w:t>
      </w:r>
      <w:r w:rsidRPr="002513B4">
        <w:rPr>
          <w:lang w:val="en-US"/>
        </w:rPr>
        <w:t>from the monthly patient information files. These are patients who have requested that their agency not release their identity to anyone outside the agency, which typically occurs at the start of care.</w:t>
      </w:r>
    </w:p>
    <w:p w14:paraId="28CD638F" w14:textId="42745742" w:rsidR="00EE74F9" w:rsidRPr="002513B4" w:rsidRDefault="0034388C" w:rsidP="00EE74F9">
      <w:pPr>
        <w:pStyle w:val="Heading4"/>
        <w:rPr>
          <w:lang w:val="en-US"/>
        </w:rPr>
      </w:pPr>
      <w:r w:rsidRPr="002513B4">
        <w:rPr>
          <w:lang w:val="en-US"/>
        </w:rPr>
        <w:t>4.3.3</w:t>
      </w:r>
      <w:r w:rsidR="003570FE" w:rsidRPr="002513B4">
        <w:rPr>
          <w:lang w:val="en-US"/>
        </w:rPr>
        <w:tab/>
      </w:r>
      <w:r w:rsidR="00EE74F9" w:rsidRPr="002513B4">
        <w:rPr>
          <w:lang w:val="en-US"/>
        </w:rPr>
        <w:t>Removing Non-</w:t>
      </w:r>
      <w:r w:rsidR="00852282" w:rsidRPr="002513B4">
        <w:rPr>
          <w:lang w:val="en-US"/>
        </w:rPr>
        <w:t>E</w:t>
      </w:r>
      <w:r w:rsidR="00EE74F9" w:rsidRPr="002513B4">
        <w:rPr>
          <w:lang w:val="en-US"/>
        </w:rPr>
        <w:t>ligible Patients From Monthly Files</w:t>
      </w:r>
    </w:p>
    <w:p w14:paraId="6A713D96" w14:textId="57C28B71" w:rsidR="00EE74F9" w:rsidRPr="002513B4" w:rsidRDefault="00EE74F9" w:rsidP="00EE74F9">
      <w:pPr>
        <w:pStyle w:val="BodyText"/>
        <w:rPr>
          <w:lang w:val="en-US"/>
        </w:rPr>
      </w:pPr>
      <w:r w:rsidRPr="002513B4">
        <w:rPr>
          <w:lang w:val="en-US"/>
        </w:rPr>
        <w:t xml:space="preserve">Some HHAs may want to provide their contracted </w:t>
      </w:r>
      <w:r w:rsidR="00852282" w:rsidRPr="002513B4">
        <w:rPr>
          <w:lang w:val="en-US"/>
        </w:rPr>
        <w:t xml:space="preserve">survey </w:t>
      </w:r>
      <w:r w:rsidRPr="002513B4">
        <w:rPr>
          <w:lang w:val="en-US"/>
        </w:rPr>
        <w:t xml:space="preserve">vendor with a monthly patient information file that contains information only about patients who meet the survey eligibility criteria. If the HHA is making the exclusions, it is the vendor’s responsibility to make sure that the HHA understands and correctly applies the patient eligibility criteria. </w:t>
      </w:r>
      <w:r w:rsidR="00F37C23" w:rsidRPr="002513B4">
        <w:rPr>
          <w:lang w:val="en-US"/>
        </w:rPr>
        <w:t>T</w:t>
      </w:r>
      <w:r w:rsidRPr="002513B4">
        <w:rPr>
          <w:lang w:val="en-US"/>
        </w:rPr>
        <w:t xml:space="preserve">he survey vendor must still examine the file for completeness and to make sure that all patients on the file meet </w:t>
      </w:r>
      <w:proofErr w:type="gramStart"/>
      <w:r w:rsidRPr="002513B4">
        <w:rPr>
          <w:lang w:val="en-US"/>
        </w:rPr>
        <w:t>all of</w:t>
      </w:r>
      <w:proofErr w:type="gramEnd"/>
      <w:r w:rsidRPr="002513B4">
        <w:rPr>
          <w:lang w:val="en-US"/>
        </w:rPr>
        <w:t xml:space="preserve"> the eligibility criteria.</w:t>
      </w:r>
    </w:p>
    <w:p w14:paraId="15549F20" w14:textId="77777777" w:rsidR="00EE74F9" w:rsidRPr="002513B4" w:rsidRDefault="00EE74F9" w:rsidP="00EE74F9">
      <w:pPr>
        <w:pStyle w:val="BodyText"/>
        <w:rPr>
          <w:lang w:val="en-US"/>
        </w:rPr>
      </w:pPr>
      <w:r w:rsidRPr="002513B4">
        <w:rPr>
          <w:lang w:val="en-US"/>
        </w:rPr>
        <w:t xml:space="preserve">Other HHAs may opt to provide a file containing information about all patients served during the sample month so that the vendor can make the exclusions. If the survey vendor is making the exclusions, it is the survey vendor’s responsibility to stress to its HHA clients that </w:t>
      </w:r>
      <w:r w:rsidRPr="002513B4">
        <w:rPr>
          <w:b/>
          <w:lang w:val="en-US"/>
        </w:rPr>
        <w:t>all</w:t>
      </w:r>
      <w:r w:rsidRPr="002513B4">
        <w:rPr>
          <w:lang w:val="en-US"/>
        </w:rPr>
        <w:t xml:space="preserve"> </w:t>
      </w:r>
      <w:r w:rsidRPr="002513B4">
        <w:rPr>
          <w:b/>
          <w:lang w:val="en-US"/>
        </w:rPr>
        <w:t>patients</w:t>
      </w:r>
      <w:r w:rsidRPr="002513B4">
        <w:rPr>
          <w:lang w:val="en-US"/>
        </w:rPr>
        <w:t xml:space="preserve"> must be represented in the file the HHA submits. The HHA </w:t>
      </w:r>
      <w:r w:rsidRPr="002513B4">
        <w:rPr>
          <w:b/>
          <w:bCs/>
          <w:lang w:val="en-US"/>
        </w:rPr>
        <w:t>must</w:t>
      </w:r>
      <w:r w:rsidRPr="002513B4">
        <w:rPr>
          <w:lang w:val="en-US"/>
        </w:rPr>
        <w:t xml:space="preserve"> provide the vendor with sufficient information for the vendor to identify and exclude patients who do not meet eligibility requirements. And, even if the survey vendor is making the exclusions, the HHA must still exclude from the file information about harmful/dangerous, state-regulated, or no publicity patients.</w:t>
      </w:r>
    </w:p>
    <w:p w14:paraId="6A695D39" w14:textId="4D3B50A9" w:rsidR="00EE74F9" w:rsidRPr="002513B4" w:rsidRDefault="0034388C" w:rsidP="00EE74F9">
      <w:pPr>
        <w:pStyle w:val="Heading4"/>
        <w:rPr>
          <w:rFonts w:eastAsia="Batang"/>
          <w:lang w:val="en-US"/>
        </w:rPr>
      </w:pPr>
      <w:r w:rsidRPr="002513B4">
        <w:rPr>
          <w:lang w:val="en-US"/>
        </w:rPr>
        <w:t>4.3.4</w:t>
      </w:r>
      <w:r w:rsidR="003570FE" w:rsidRPr="002513B4">
        <w:rPr>
          <w:lang w:val="en-US"/>
        </w:rPr>
        <w:tab/>
      </w:r>
      <w:r w:rsidR="00EE74F9" w:rsidRPr="002513B4">
        <w:rPr>
          <w:lang w:val="en-US"/>
        </w:rPr>
        <w:t xml:space="preserve">Information Needed </w:t>
      </w:r>
      <w:r w:rsidR="00F37C23" w:rsidRPr="002513B4">
        <w:rPr>
          <w:lang w:val="en-US"/>
        </w:rPr>
        <w:t>from</w:t>
      </w:r>
      <w:r w:rsidR="00EE74F9" w:rsidRPr="002513B4">
        <w:rPr>
          <w:lang w:val="en-US"/>
        </w:rPr>
        <w:t xml:space="preserve"> Each HHA at the Agency Level</w:t>
      </w:r>
    </w:p>
    <w:p w14:paraId="30CC9FEE" w14:textId="522AC306" w:rsidR="00F37C23" w:rsidRPr="002513B4" w:rsidRDefault="00EE74F9" w:rsidP="00EE74F9">
      <w:pPr>
        <w:pStyle w:val="BodyText"/>
        <w:rPr>
          <w:rFonts w:eastAsia="Batang"/>
          <w:lang w:val="en-US"/>
        </w:rPr>
      </w:pPr>
      <w:r w:rsidRPr="002513B4">
        <w:rPr>
          <w:rFonts w:eastAsia="Batang"/>
          <w:lang w:val="en-US"/>
        </w:rPr>
        <w:t xml:space="preserve">HHAs are required to submit several </w:t>
      </w:r>
      <w:r w:rsidR="00852282" w:rsidRPr="002513B4">
        <w:rPr>
          <w:rFonts w:eastAsia="Batang"/>
          <w:lang w:val="en-US"/>
        </w:rPr>
        <w:t>a</w:t>
      </w:r>
      <w:r w:rsidRPr="002513B4">
        <w:rPr>
          <w:rFonts w:eastAsia="Batang"/>
          <w:lang w:val="en-US"/>
        </w:rPr>
        <w:t>gency-level data elements, including</w:t>
      </w:r>
      <w:r w:rsidR="00F37C23" w:rsidRPr="002513B4">
        <w:rPr>
          <w:rFonts w:eastAsia="Batang"/>
          <w:lang w:val="en-US"/>
        </w:rPr>
        <w:t>:</w:t>
      </w:r>
    </w:p>
    <w:p w14:paraId="28AC96FF" w14:textId="5A2243CF" w:rsidR="00F37C23" w:rsidRPr="002513B4" w:rsidRDefault="00F37C23" w:rsidP="005F400D">
      <w:pPr>
        <w:pStyle w:val="ListBullet"/>
      </w:pPr>
      <w:r w:rsidRPr="002513B4">
        <w:t xml:space="preserve">HHA’s </w:t>
      </w:r>
      <w:r w:rsidR="00EE74F9" w:rsidRPr="002513B4">
        <w:t>Provider Name</w:t>
      </w:r>
    </w:p>
    <w:p w14:paraId="4D9EB481" w14:textId="27E34415" w:rsidR="00F37C23" w:rsidRPr="002513B4" w:rsidRDefault="00F37C23" w:rsidP="005F400D">
      <w:pPr>
        <w:pStyle w:val="ListBullet"/>
        <w:rPr>
          <w:rFonts w:eastAsia="Batang"/>
        </w:rPr>
      </w:pPr>
      <w:r w:rsidRPr="002513B4">
        <w:rPr>
          <w:rFonts w:eastAsia="Batang"/>
        </w:rPr>
        <w:t xml:space="preserve">HHA’s </w:t>
      </w:r>
      <w:r w:rsidR="00EE74F9" w:rsidRPr="002513B4">
        <w:rPr>
          <w:rFonts w:eastAsia="Batang"/>
        </w:rPr>
        <w:t>Provider Number</w:t>
      </w:r>
      <w:r w:rsidRPr="002513B4">
        <w:rPr>
          <w:rFonts w:eastAsia="Batang"/>
        </w:rPr>
        <w:t xml:space="preserve"> or CCN</w:t>
      </w:r>
    </w:p>
    <w:p w14:paraId="71894616" w14:textId="3DA80587" w:rsidR="00F37C23" w:rsidRPr="002513B4" w:rsidRDefault="00F37C23" w:rsidP="005F400D">
      <w:pPr>
        <w:pStyle w:val="ListBullet"/>
        <w:rPr>
          <w:rFonts w:eastAsia="Batang"/>
        </w:rPr>
      </w:pPr>
      <w:r w:rsidRPr="002513B4">
        <w:rPr>
          <w:rFonts w:eastAsia="Batang"/>
        </w:rPr>
        <w:t xml:space="preserve">HHA’s </w:t>
      </w:r>
      <w:r w:rsidR="00EE74F9" w:rsidRPr="002513B4">
        <w:rPr>
          <w:rFonts w:eastAsia="Batang"/>
        </w:rPr>
        <w:t>National Provider Number</w:t>
      </w:r>
      <w:r w:rsidRPr="002513B4">
        <w:rPr>
          <w:rFonts w:eastAsia="Batang"/>
        </w:rPr>
        <w:t xml:space="preserve"> or </w:t>
      </w:r>
      <w:r w:rsidR="00EE74F9" w:rsidRPr="002513B4">
        <w:rPr>
          <w:rFonts w:eastAsia="Batang"/>
        </w:rPr>
        <w:t xml:space="preserve">(NPI), </w:t>
      </w:r>
    </w:p>
    <w:p w14:paraId="105505C7" w14:textId="3D5F765D" w:rsidR="00F37C23" w:rsidRPr="002513B4" w:rsidRDefault="00EE74F9" w:rsidP="005F400D">
      <w:pPr>
        <w:pStyle w:val="ListBullet"/>
        <w:rPr>
          <w:rFonts w:eastAsia="Batang"/>
        </w:rPr>
      </w:pPr>
      <w:r w:rsidRPr="002513B4">
        <w:rPr>
          <w:rFonts w:eastAsia="Batang"/>
        </w:rPr>
        <w:t>Sample Month</w:t>
      </w:r>
    </w:p>
    <w:p w14:paraId="706D2A8C" w14:textId="24B18AEA" w:rsidR="00F37C23" w:rsidRPr="002513B4" w:rsidRDefault="00EE74F9" w:rsidP="005F400D">
      <w:pPr>
        <w:pStyle w:val="ListBullet"/>
        <w:rPr>
          <w:rFonts w:eastAsia="Batang"/>
        </w:rPr>
      </w:pPr>
      <w:r w:rsidRPr="002513B4">
        <w:rPr>
          <w:rFonts w:eastAsia="Batang"/>
        </w:rPr>
        <w:t>Sample Year</w:t>
      </w:r>
    </w:p>
    <w:p w14:paraId="4279D98B" w14:textId="788A61C4" w:rsidR="00F37C23" w:rsidRPr="002513B4" w:rsidRDefault="00EE74F9" w:rsidP="005F400D">
      <w:pPr>
        <w:pStyle w:val="ListBullet"/>
        <w:spacing w:after="0"/>
        <w:rPr>
          <w:rFonts w:eastAsia="Batang"/>
        </w:rPr>
      </w:pPr>
      <w:r w:rsidRPr="002513B4">
        <w:rPr>
          <w:rFonts w:eastAsia="Batang"/>
        </w:rPr>
        <w:t xml:space="preserve">Number of Patients Served </w:t>
      </w:r>
    </w:p>
    <w:p w14:paraId="672A424D" w14:textId="52813923" w:rsidR="00EE74F9" w:rsidRPr="002513B4" w:rsidRDefault="00EE74F9" w:rsidP="00A62DD9">
      <w:pPr>
        <w:pStyle w:val="ListBullet2"/>
      </w:pPr>
      <w:r w:rsidRPr="002513B4">
        <w:t>The “N</w:t>
      </w:r>
      <w:r w:rsidR="00852282" w:rsidRPr="002513B4">
        <w:t>umber</w:t>
      </w:r>
      <w:r w:rsidRPr="002513B4">
        <w:t xml:space="preserve"> </w:t>
      </w:r>
      <w:r w:rsidR="00D818AA" w:rsidRPr="002513B4">
        <w:t>O</w:t>
      </w:r>
      <w:r w:rsidRPr="002513B4">
        <w:t>f Patients Served” is the total number of patients the HHA served during the sample month. This total should include patients who had at least one visit for skilled care at any point during the sample month, regardless of whether they are eligible for the HHCAHPS Survey. In other words, this number should include both patients who are eligible for the survey and those who are not.</w:t>
      </w:r>
    </w:p>
    <w:p w14:paraId="5B3E61B5" w14:textId="74A94D09" w:rsidR="00EE74F9" w:rsidRPr="002513B4" w:rsidRDefault="0034388C" w:rsidP="00EE74F9">
      <w:pPr>
        <w:pStyle w:val="Heading4"/>
        <w:rPr>
          <w:lang w:val="en-US"/>
        </w:rPr>
      </w:pPr>
      <w:r w:rsidRPr="002513B4">
        <w:rPr>
          <w:lang w:val="en-US"/>
        </w:rPr>
        <w:t>4.3.5</w:t>
      </w:r>
      <w:r w:rsidR="005F400D" w:rsidRPr="002513B4">
        <w:rPr>
          <w:lang w:val="en-US"/>
        </w:rPr>
        <w:tab/>
      </w:r>
      <w:r w:rsidR="00EE74F9" w:rsidRPr="002513B4">
        <w:rPr>
          <w:lang w:val="en-US"/>
        </w:rPr>
        <w:t>Information Needed From HHAs for Each Patient Served</w:t>
      </w:r>
    </w:p>
    <w:p w14:paraId="03373F83" w14:textId="77777777" w:rsidR="00EE74F9" w:rsidRPr="002513B4" w:rsidRDefault="00EE74F9" w:rsidP="00EE74F9">
      <w:pPr>
        <w:pStyle w:val="BodyText"/>
        <w:rPr>
          <w:lang w:val="en-US"/>
        </w:rPr>
      </w:pPr>
      <w:r w:rsidRPr="002513B4">
        <w:rPr>
          <w:lang w:val="en-US"/>
        </w:rPr>
        <w:t xml:space="preserve">HHAs are required to provide </w:t>
      </w:r>
      <w:proofErr w:type="gramStart"/>
      <w:r w:rsidRPr="002513B4">
        <w:rPr>
          <w:lang w:val="en-US"/>
        </w:rPr>
        <w:t>all of</w:t>
      </w:r>
      <w:proofErr w:type="gramEnd"/>
      <w:r w:rsidRPr="002513B4">
        <w:rPr>
          <w:lang w:val="en-US"/>
        </w:rPr>
        <w:t xml:space="preserve"> the information shown in </w:t>
      </w:r>
      <w:r w:rsidRPr="002513B4">
        <w:rPr>
          <w:b/>
          <w:i/>
          <w:lang w:val="en-US"/>
        </w:rPr>
        <w:t>Table 4.1</w:t>
      </w:r>
      <w:r w:rsidRPr="002513B4">
        <w:rPr>
          <w:lang w:val="en-US"/>
        </w:rPr>
        <w:t xml:space="preserve"> for each patient they served during the sample month </w:t>
      </w:r>
      <w:r w:rsidRPr="002513B4">
        <w:rPr>
          <w:i/>
          <w:iCs/>
          <w:lang w:val="en-US"/>
        </w:rPr>
        <w:t xml:space="preserve">except </w:t>
      </w:r>
      <w:r w:rsidR="00852282" w:rsidRPr="002513B4">
        <w:rPr>
          <w:lang w:val="en-US"/>
        </w:rPr>
        <w:t xml:space="preserve">harmful/dangerous, state-regulated, or no </w:t>
      </w:r>
      <w:r w:rsidR="00852282" w:rsidRPr="002513B4">
        <w:rPr>
          <w:lang w:val="en-US"/>
        </w:rPr>
        <w:lastRenderedPageBreak/>
        <w:t>publicity patients</w:t>
      </w:r>
      <w:r w:rsidRPr="002513B4">
        <w:rPr>
          <w:lang w:val="en-US"/>
        </w:rPr>
        <w:t xml:space="preserve">. The information that the HHA provides will be used by the survey vendor to survey sampled patients and will be used by the HHCAHPS Survey Coordination Team for data analysis. Further explanation of some of the elements listed in the table is provided in </w:t>
      </w:r>
      <w:r w:rsidRPr="002513B4">
        <w:rPr>
          <w:b/>
          <w:bCs/>
          <w:i/>
          <w:iCs/>
          <w:lang w:val="en-US"/>
        </w:rPr>
        <w:t>Table 4.1</w:t>
      </w:r>
      <w:r w:rsidRPr="002513B4">
        <w:rPr>
          <w:lang w:val="en-US"/>
        </w:rPr>
        <w:t>.</w:t>
      </w:r>
    </w:p>
    <w:p w14:paraId="798C477F" w14:textId="2AB5ED17" w:rsidR="00EE74F9" w:rsidRPr="002513B4" w:rsidRDefault="00EE74F9" w:rsidP="00EE74F9">
      <w:pPr>
        <w:pStyle w:val="TableCaption"/>
      </w:pPr>
      <w:bookmarkStart w:id="112" w:name="_Toc24713421"/>
      <w:bookmarkStart w:id="113" w:name="_Toc217024908"/>
      <w:r w:rsidRPr="002513B4">
        <w:t>Table 4.1</w:t>
      </w:r>
      <w:r w:rsidR="003264F7" w:rsidRPr="002513B4">
        <w:t xml:space="preserve"> </w:t>
      </w:r>
      <w:r w:rsidRPr="002513B4">
        <w:t>Information Needed From HHAs for Each Medicare or Medicaid Patient Served During Sample Month</w:t>
      </w:r>
      <w:bookmarkEnd w:id="112"/>
      <w:bookmarkEnd w:id="113"/>
    </w:p>
    <w:tbl>
      <w:tblPr>
        <w:tblW w:w="9360" w:type="dxa"/>
        <w:tblLayout w:type="fixed"/>
        <w:tblCellMar>
          <w:left w:w="115" w:type="dxa"/>
          <w:right w:w="115" w:type="dxa"/>
        </w:tblCellMar>
        <w:tblLook w:val="01E0" w:firstRow="1" w:lastRow="1" w:firstColumn="1" w:lastColumn="1" w:noHBand="0" w:noVBand="0"/>
        <w:tblCaption w:val="Summary of Information Needed from HHAs in Monthly Patient Information File"/>
        <w:tblDescription w:val="Table 4-1 lists the data elements required from HHAs  including the data element name, description, and reason for why its needed"/>
      </w:tblPr>
      <w:tblGrid>
        <w:gridCol w:w="6300"/>
        <w:gridCol w:w="3060"/>
      </w:tblGrid>
      <w:tr w:rsidR="00EE74F9" w:rsidRPr="002513B4" w14:paraId="6E987DDE" w14:textId="77777777" w:rsidTr="008309E6">
        <w:trPr>
          <w:cantSplit/>
          <w:tblHeader/>
        </w:trPr>
        <w:tc>
          <w:tcPr>
            <w:tcW w:w="6300" w:type="dxa"/>
            <w:tcBorders>
              <w:top w:val="single" w:sz="8" w:space="0" w:color="1F497D"/>
              <w:bottom w:val="single" w:sz="8" w:space="0" w:color="1F497D"/>
            </w:tcBorders>
            <w:shd w:val="clear" w:color="auto" w:fill="1F497D"/>
            <w:vAlign w:val="bottom"/>
          </w:tcPr>
          <w:p w14:paraId="159FDB36" w14:textId="77777777" w:rsidR="00EE74F9" w:rsidRPr="002513B4" w:rsidRDefault="00EE74F9" w:rsidP="00C553FE">
            <w:pPr>
              <w:pStyle w:val="TableHeaders"/>
              <w:rPr>
                <w:color w:val="FFFFFF" w:themeColor="background1"/>
              </w:rPr>
            </w:pPr>
            <w:r w:rsidRPr="002513B4">
              <w:rPr>
                <w:color w:val="FFFFFF" w:themeColor="background1"/>
              </w:rPr>
              <w:t>Data Element Required</w:t>
            </w:r>
          </w:p>
        </w:tc>
        <w:tc>
          <w:tcPr>
            <w:tcW w:w="3060" w:type="dxa"/>
            <w:tcBorders>
              <w:bottom w:val="single" w:sz="8" w:space="0" w:color="1F497D"/>
            </w:tcBorders>
            <w:shd w:val="clear" w:color="auto" w:fill="1F497D"/>
            <w:vAlign w:val="bottom"/>
          </w:tcPr>
          <w:p w14:paraId="30A96BC7" w14:textId="77777777" w:rsidR="00EE74F9" w:rsidRPr="002513B4" w:rsidRDefault="00EE74F9" w:rsidP="00C553FE">
            <w:pPr>
              <w:pStyle w:val="TableHeaders"/>
              <w:rPr>
                <w:color w:val="FFFFFF" w:themeColor="background1"/>
              </w:rPr>
            </w:pPr>
            <w:r w:rsidRPr="002513B4">
              <w:rPr>
                <w:color w:val="FFFFFF" w:themeColor="background1"/>
              </w:rPr>
              <w:t>Reason Needed</w:t>
            </w:r>
          </w:p>
        </w:tc>
      </w:tr>
      <w:tr w:rsidR="00EE74F9" w:rsidRPr="002513B4" w14:paraId="291FEF52" w14:textId="77777777" w:rsidTr="008309E6">
        <w:trPr>
          <w:cantSplit/>
        </w:trPr>
        <w:tc>
          <w:tcPr>
            <w:tcW w:w="6300" w:type="dxa"/>
            <w:tcBorders>
              <w:top w:val="single" w:sz="8" w:space="0" w:color="1F497D"/>
            </w:tcBorders>
          </w:tcPr>
          <w:p w14:paraId="6B219FE9" w14:textId="77777777" w:rsidR="00EE74F9" w:rsidRPr="002513B4" w:rsidRDefault="00EE74F9" w:rsidP="00C553FE">
            <w:pPr>
              <w:pStyle w:val="TableText"/>
            </w:pPr>
            <w:r w:rsidRPr="002513B4">
              <w:t>Patient’s full name (First Name, Middle Initial, and Last Name as separate fields)</w:t>
            </w:r>
          </w:p>
        </w:tc>
        <w:tc>
          <w:tcPr>
            <w:tcW w:w="3060" w:type="dxa"/>
            <w:tcBorders>
              <w:top w:val="single" w:sz="8" w:space="0" w:color="1F497D"/>
            </w:tcBorders>
          </w:tcPr>
          <w:p w14:paraId="0400AE00" w14:textId="77777777" w:rsidR="00EE74F9" w:rsidRPr="002513B4" w:rsidRDefault="00EE74F9" w:rsidP="00C553FE">
            <w:pPr>
              <w:pStyle w:val="TableText"/>
            </w:pPr>
            <w:r w:rsidRPr="002513B4">
              <w:t>Survey administration</w:t>
            </w:r>
          </w:p>
        </w:tc>
      </w:tr>
      <w:tr w:rsidR="00EE74F9" w:rsidRPr="002513B4" w14:paraId="3B028ACD" w14:textId="77777777" w:rsidTr="008309E6">
        <w:trPr>
          <w:cantSplit/>
        </w:trPr>
        <w:tc>
          <w:tcPr>
            <w:tcW w:w="6300" w:type="dxa"/>
          </w:tcPr>
          <w:p w14:paraId="492CF4E8" w14:textId="5B7CDE85" w:rsidR="00EE74F9" w:rsidRPr="002513B4" w:rsidRDefault="00C80495" w:rsidP="00C553FE">
            <w:pPr>
              <w:pStyle w:val="TableText"/>
            </w:pPr>
            <w:r w:rsidRPr="002513B4">
              <w:t>Patient Sex</w:t>
            </w:r>
          </w:p>
        </w:tc>
        <w:tc>
          <w:tcPr>
            <w:tcW w:w="3060" w:type="dxa"/>
          </w:tcPr>
          <w:p w14:paraId="5CBC3322" w14:textId="77777777" w:rsidR="00EE74F9" w:rsidRPr="002513B4" w:rsidRDefault="00EE74F9" w:rsidP="00C553FE">
            <w:pPr>
              <w:pStyle w:val="TableText"/>
            </w:pPr>
            <w:r w:rsidRPr="002513B4">
              <w:t>Survey administration and analysis</w:t>
            </w:r>
          </w:p>
        </w:tc>
      </w:tr>
      <w:tr w:rsidR="00EE74F9" w:rsidRPr="002513B4" w14:paraId="22588136" w14:textId="77777777" w:rsidTr="008309E6">
        <w:trPr>
          <w:cantSplit/>
        </w:trPr>
        <w:tc>
          <w:tcPr>
            <w:tcW w:w="6300" w:type="dxa"/>
          </w:tcPr>
          <w:p w14:paraId="6B93A014" w14:textId="77777777" w:rsidR="00EE74F9" w:rsidRPr="002513B4" w:rsidRDefault="00EE74F9" w:rsidP="00C553FE">
            <w:pPr>
              <w:pStyle w:val="TableText"/>
            </w:pPr>
            <w:r w:rsidRPr="002513B4">
              <w:t>Patient’s date of birth (MMDDYYYY)</w:t>
            </w:r>
          </w:p>
        </w:tc>
        <w:tc>
          <w:tcPr>
            <w:tcW w:w="3060" w:type="dxa"/>
          </w:tcPr>
          <w:p w14:paraId="197115A8" w14:textId="77777777" w:rsidR="00EE74F9" w:rsidRPr="002513B4" w:rsidRDefault="00EE74F9" w:rsidP="00C553FE">
            <w:pPr>
              <w:pStyle w:val="TableText"/>
            </w:pPr>
            <w:r w:rsidRPr="002513B4">
              <w:t>Survey eligibility and quality assurance</w:t>
            </w:r>
          </w:p>
        </w:tc>
      </w:tr>
      <w:tr w:rsidR="00EE74F9" w:rsidRPr="002513B4" w14:paraId="700A1253" w14:textId="77777777" w:rsidTr="008309E6">
        <w:trPr>
          <w:cantSplit/>
        </w:trPr>
        <w:tc>
          <w:tcPr>
            <w:tcW w:w="6300" w:type="dxa"/>
          </w:tcPr>
          <w:p w14:paraId="3861AA6B" w14:textId="77777777" w:rsidR="00EE74F9" w:rsidRPr="002513B4" w:rsidRDefault="00EE74F9" w:rsidP="00C553FE">
            <w:pPr>
              <w:pStyle w:val="TableText"/>
            </w:pPr>
            <w:r w:rsidRPr="002513B4">
              <w:t>Mailing address (Patient Mailing Address 1, Patient Mailing Address 2, Address City, Address State, and Address Zip Code as separate data fields)</w:t>
            </w:r>
          </w:p>
        </w:tc>
        <w:tc>
          <w:tcPr>
            <w:tcW w:w="3060" w:type="dxa"/>
          </w:tcPr>
          <w:p w14:paraId="15D38E62" w14:textId="77777777" w:rsidR="00EE74F9" w:rsidRPr="002513B4" w:rsidRDefault="00EE74F9" w:rsidP="00C553FE">
            <w:pPr>
              <w:pStyle w:val="TableText"/>
            </w:pPr>
            <w:r w:rsidRPr="002513B4">
              <w:t>Survey administration</w:t>
            </w:r>
          </w:p>
        </w:tc>
      </w:tr>
      <w:tr w:rsidR="00EE74F9" w:rsidRPr="002513B4" w14:paraId="63EB2D31" w14:textId="77777777" w:rsidTr="008309E6">
        <w:trPr>
          <w:cantSplit/>
        </w:trPr>
        <w:tc>
          <w:tcPr>
            <w:tcW w:w="6300" w:type="dxa"/>
          </w:tcPr>
          <w:p w14:paraId="4D6DFA5B" w14:textId="77777777" w:rsidR="00EE74F9" w:rsidRPr="002513B4" w:rsidRDefault="00EE74F9" w:rsidP="00C553FE">
            <w:pPr>
              <w:pStyle w:val="TableText"/>
            </w:pPr>
            <w:r w:rsidRPr="002513B4">
              <w:t>Patient’s telephone number including area code</w:t>
            </w:r>
          </w:p>
        </w:tc>
        <w:tc>
          <w:tcPr>
            <w:tcW w:w="3060" w:type="dxa"/>
          </w:tcPr>
          <w:p w14:paraId="0F2A46CF" w14:textId="77777777" w:rsidR="00EE74F9" w:rsidRPr="002513B4" w:rsidRDefault="00EE74F9" w:rsidP="00C553FE">
            <w:pPr>
              <w:pStyle w:val="TableText"/>
            </w:pPr>
            <w:r w:rsidRPr="002513B4">
              <w:t>Survey administration</w:t>
            </w:r>
          </w:p>
        </w:tc>
      </w:tr>
      <w:tr w:rsidR="00EE74F9" w:rsidRPr="002513B4" w14:paraId="1B82669F" w14:textId="77777777" w:rsidTr="008309E6">
        <w:trPr>
          <w:cantSplit/>
        </w:trPr>
        <w:tc>
          <w:tcPr>
            <w:tcW w:w="6300" w:type="dxa"/>
          </w:tcPr>
          <w:p w14:paraId="5031A144" w14:textId="77777777" w:rsidR="00EE74F9" w:rsidRPr="002513B4" w:rsidRDefault="00EE74F9" w:rsidP="00C553FE">
            <w:pPr>
              <w:pStyle w:val="TableText"/>
            </w:pPr>
            <w:r w:rsidRPr="002513B4">
              <w:t>Medical Record Number (Patient’s HHA medical record number)</w:t>
            </w:r>
          </w:p>
        </w:tc>
        <w:tc>
          <w:tcPr>
            <w:tcW w:w="3060" w:type="dxa"/>
          </w:tcPr>
          <w:p w14:paraId="1B04A032" w14:textId="77777777" w:rsidR="00EE74F9" w:rsidRPr="002513B4" w:rsidRDefault="00EE74F9" w:rsidP="00C553FE">
            <w:pPr>
              <w:pStyle w:val="TableText"/>
            </w:pPr>
            <w:r w:rsidRPr="002513B4">
              <w:t>Survey quality assurance</w:t>
            </w:r>
          </w:p>
        </w:tc>
      </w:tr>
      <w:tr w:rsidR="00EE74F9" w:rsidRPr="002513B4" w14:paraId="4524ACA7" w14:textId="77777777" w:rsidTr="008309E6">
        <w:trPr>
          <w:cantSplit/>
        </w:trPr>
        <w:tc>
          <w:tcPr>
            <w:tcW w:w="6300" w:type="dxa"/>
          </w:tcPr>
          <w:p w14:paraId="74A7AE09" w14:textId="77777777" w:rsidR="00EE74F9" w:rsidRPr="002513B4" w:rsidRDefault="00EE74F9" w:rsidP="00C553FE">
            <w:pPr>
              <w:pStyle w:val="TableText"/>
            </w:pPr>
            <w:r w:rsidRPr="002513B4">
              <w:t>Number of skilled home health visits in sample month</w:t>
            </w:r>
          </w:p>
        </w:tc>
        <w:tc>
          <w:tcPr>
            <w:tcW w:w="3060" w:type="dxa"/>
          </w:tcPr>
          <w:p w14:paraId="5FCC8C06" w14:textId="77777777" w:rsidR="00EE74F9" w:rsidRPr="002513B4" w:rsidRDefault="00EE74F9" w:rsidP="00C553FE">
            <w:pPr>
              <w:pStyle w:val="TableText"/>
            </w:pPr>
            <w:r w:rsidRPr="002513B4">
              <w:t>Survey eligibility and quality assurance</w:t>
            </w:r>
          </w:p>
        </w:tc>
      </w:tr>
      <w:tr w:rsidR="00EE74F9" w:rsidRPr="002513B4" w14:paraId="7A14BCB5" w14:textId="77777777" w:rsidTr="008309E6">
        <w:trPr>
          <w:cantSplit/>
        </w:trPr>
        <w:tc>
          <w:tcPr>
            <w:tcW w:w="6300" w:type="dxa"/>
          </w:tcPr>
          <w:p w14:paraId="2B0060C8" w14:textId="77777777" w:rsidR="00EE74F9" w:rsidRPr="002513B4" w:rsidRDefault="00EE74F9" w:rsidP="00C553FE">
            <w:pPr>
              <w:pStyle w:val="TableText"/>
            </w:pPr>
            <w:r w:rsidRPr="002513B4">
              <w:t xml:space="preserve">Number of </w:t>
            </w:r>
            <w:r w:rsidR="00852282" w:rsidRPr="002513B4">
              <w:t xml:space="preserve">skilled </w:t>
            </w:r>
            <w:r w:rsidRPr="002513B4">
              <w:t>home health visits in lookback period</w:t>
            </w:r>
          </w:p>
        </w:tc>
        <w:tc>
          <w:tcPr>
            <w:tcW w:w="3060" w:type="dxa"/>
          </w:tcPr>
          <w:p w14:paraId="488D9187" w14:textId="77777777" w:rsidR="00EE74F9" w:rsidRPr="002513B4" w:rsidRDefault="00EE74F9" w:rsidP="00C553FE">
            <w:pPr>
              <w:pStyle w:val="TableText"/>
            </w:pPr>
            <w:r w:rsidRPr="002513B4">
              <w:t>Survey eligibility and quality assurance</w:t>
            </w:r>
          </w:p>
        </w:tc>
      </w:tr>
      <w:tr w:rsidR="00EE74F9" w:rsidRPr="002513B4" w14:paraId="71C4D6E4" w14:textId="77777777" w:rsidTr="008309E6">
        <w:trPr>
          <w:cantSplit/>
        </w:trPr>
        <w:tc>
          <w:tcPr>
            <w:tcW w:w="6300" w:type="dxa"/>
          </w:tcPr>
          <w:p w14:paraId="089875B3" w14:textId="77777777" w:rsidR="00EE74F9" w:rsidRPr="002513B4" w:rsidRDefault="00EE74F9" w:rsidP="00C553FE">
            <w:pPr>
              <w:pStyle w:val="TableText"/>
            </w:pPr>
            <w:r w:rsidRPr="002513B4">
              <w:t xml:space="preserve">Payer(s) (Medicare, Medicaid, private health insurance, </w:t>
            </w:r>
            <w:r w:rsidR="00852282" w:rsidRPr="002513B4">
              <w:t xml:space="preserve">and/or </w:t>
            </w:r>
            <w:r w:rsidRPr="002513B4">
              <w:t>other)</w:t>
            </w:r>
          </w:p>
        </w:tc>
        <w:tc>
          <w:tcPr>
            <w:tcW w:w="3060" w:type="dxa"/>
          </w:tcPr>
          <w:p w14:paraId="5BE816F0" w14:textId="77777777" w:rsidR="00EE74F9" w:rsidRPr="002513B4" w:rsidRDefault="00EE74F9" w:rsidP="00C553FE">
            <w:pPr>
              <w:pStyle w:val="TableText"/>
            </w:pPr>
            <w:r w:rsidRPr="002513B4">
              <w:t>Survey eligibility and analysis</w:t>
            </w:r>
          </w:p>
        </w:tc>
      </w:tr>
      <w:tr w:rsidR="00EE74F9" w:rsidRPr="002513B4" w14:paraId="21D783E6" w14:textId="77777777" w:rsidTr="008309E6">
        <w:trPr>
          <w:cantSplit/>
        </w:trPr>
        <w:tc>
          <w:tcPr>
            <w:tcW w:w="6300" w:type="dxa"/>
          </w:tcPr>
          <w:p w14:paraId="2774E3A3" w14:textId="77777777" w:rsidR="00EE74F9" w:rsidRPr="002513B4" w:rsidRDefault="00EE74F9" w:rsidP="00C553FE">
            <w:pPr>
              <w:pStyle w:val="TableText"/>
            </w:pPr>
            <w:r w:rsidRPr="002513B4">
              <w:t>Source of admission (prior inpatient or community setting)</w:t>
            </w:r>
          </w:p>
        </w:tc>
        <w:tc>
          <w:tcPr>
            <w:tcW w:w="3060" w:type="dxa"/>
          </w:tcPr>
          <w:p w14:paraId="4A4DB2F7" w14:textId="77777777" w:rsidR="00EE74F9" w:rsidRPr="002513B4" w:rsidRDefault="00EE74F9" w:rsidP="00C553FE">
            <w:pPr>
              <w:pStyle w:val="TableText"/>
            </w:pPr>
            <w:r w:rsidRPr="002513B4">
              <w:t>Survey analysis</w:t>
            </w:r>
          </w:p>
        </w:tc>
      </w:tr>
      <w:tr w:rsidR="00EE74F9" w:rsidRPr="002513B4" w14:paraId="55079784" w14:textId="77777777" w:rsidTr="008309E6">
        <w:trPr>
          <w:cantSplit/>
        </w:trPr>
        <w:tc>
          <w:tcPr>
            <w:tcW w:w="6300" w:type="dxa"/>
          </w:tcPr>
          <w:p w14:paraId="63EBE40C" w14:textId="77777777" w:rsidR="00EE74F9" w:rsidRPr="002513B4" w:rsidRDefault="00EE74F9" w:rsidP="00C553FE">
            <w:pPr>
              <w:pStyle w:val="TableText"/>
            </w:pPr>
            <w:r w:rsidRPr="002513B4">
              <w:t>HMO indicator</w:t>
            </w:r>
          </w:p>
        </w:tc>
        <w:tc>
          <w:tcPr>
            <w:tcW w:w="3060" w:type="dxa"/>
          </w:tcPr>
          <w:p w14:paraId="6B9883DD" w14:textId="77777777" w:rsidR="00EE74F9" w:rsidRPr="002513B4" w:rsidRDefault="00EE74F9" w:rsidP="00C553FE">
            <w:pPr>
              <w:pStyle w:val="TableText"/>
            </w:pPr>
            <w:r w:rsidRPr="002513B4">
              <w:t>Survey analysis</w:t>
            </w:r>
          </w:p>
        </w:tc>
      </w:tr>
      <w:tr w:rsidR="00EE74F9" w:rsidRPr="002513B4" w14:paraId="3E2D87D3" w14:textId="77777777" w:rsidTr="008309E6">
        <w:trPr>
          <w:cantSplit/>
        </w:trPr>
        <w:tc>
          <w:tcPr>
            <w:tcW w:w="6300" w:type="dxa"/>
          </w:tcPr>
          <w:p w14:paraId="1F4C81E4" w14:textId="77777777" w:rsidR="00EE74F9" w:rsidRPr="002513B4" w:rsidRDefault="00EE74F9" w:rsidP="00C553FE">
            <w:pPr>
              <w:pStyle w:val="TableText"/>
            </w:pPr>
            <w:r w:rsidRPr="002513B4">
              <w:t>Whether dually eligible for Medicare and Medicaid</w:t>
            </w:r>
          </w:p>
        </w:tc>
        <w:tc>
          <w:tcPr>
            <w:tcW w:w="3060" w:type="dxa"/>
          </w:tcPr>
          <w:p w14:paraId="551FC09F" w14:textId="77777777" w:rsidR="00EE74F9" w:rsidRPr="002513B4" w:rsidRDefault="00EE74F9" w:rsidP="00C553FE">
            <w:pPr>
              <w:pStyle w:val="TableText"/>
            </w:pPr>
            <w:r w:rsidRPr="002513B4">
              <w:t>Survey analysis</w:t>
            </w:r>
          </w:p>
        </w:tc>
      </w:tr>
      <w:tr w:rsidR="00EE74F9" w:rsidRPr="002513B4" w14:paraId="3814976C" w14:textId="77777777" w:rsidTr="008309E6">
        <w:trPr>
          <w:cantSplit/>
        </w:trPr>
        <w:tc>
          <w:tcPr>
            <w:tcW w:w="6300" w:type="dxa"/>
          </w:tcPr>
          <w:p w14:paraId="158BF37F" w14:textId="77777777" w:rsidR="00EE74F9" w:rsidRPr="002513B4" w:rsidRDefault="00EE74F9" w:rsidP="00C553FE">
            <w:pPr>
              <w:pStyle w:val="TableText"/>
            </w:pPr>
            <w:r w:rsidRPr="002513B4">
              <w:t>Care related to surgical discharge indicator</w:t>
            </w:r>
          </w:p>
        </w:tc>
        <w:tc>
          <w:tcPr>
            <w:tcW w:w="3060" w:type="dxa"/>
          </w:tcPr>
          <w:p w14:paraId="3509126C" w14:textId="77777777" w:rsidR="00EE74F9" w:rsidRPr="002513B4" w:rsidRDefault="00EE74F9" w:rsidP="00C553FE">
            <w:pPr>
              <w:pStyle w:val="TableText"/>
            </w:pPr>
            <w:r w:rsidRPr="002513B4">
              <w:t>Survey analysis</w:t>
            </w:r>
          </w:p>
        </w:tc>
      </w:tr>
      <w:tr w:rsidR="00EE74F9" w:rsidRPr="002513B4" w14:paraId="5D6E1EBB" w14:textId="77777777" w:rsidTr="008309E6">
        <w:trPr>
          <w:cantSplit/>
        </w:trPr>
        <w:tc>
          <w:tcPr>
            <w:tcW w:w="6300" w:type="dxa"/>
          </w:tcPr>
          <w:p w14:paraId="0901CA14" w14:textId="77777777" w:rsidR="00EE74F9" w:rsidRPr="002513B4" w:rsidRDefault="00EE74F9" w:rsidP="00C553FE">
            <w:pPr>
              <w:pStyle w:val="TableText"/>
            </w:pPr>
            <w:r w:rsidRPr="002513B4">
              <w:t>Whether patient has end-stage renal disease (ESRD)</w:t>
            </w:r>
          </w:p>
        </w:tc>
        <w:tc>
          <w:tcPr>
            <w:tcW w:w="3060" w:type="dxa"/>
          </w:tcPr>
          <w:p w14:paraId="24B20B74" w14:textId="77777777" w:rsidR="00EE74F9" w:rsidRPr="002513B4" w:rsidRDefault="00EE74F9" w:rsidP="00C553FE">
            <w:pPr>
              <w:pStyle w:val="TableText"/>
            </w:pPr>
            <w:r w:rsidRPr="002513B4">
              <w:t>Survey analysis</w:t>
            </w:r>
          </w:p>
        </w:tc>
      </w:tr>
      <w:tr w:rsidR="00EE74F9" w:rsidRPr="002513B4" w14:paraId="4CE75E0F" w14:textId="77777777" w:rsidTr="006E65DF">
        <w:trPr>
          <w:cantSplit/>
        </w:trPr>
        <w:tc>
          <w:tcPr>
            <w:tcW w:w="6300" w:type="dxa"/>
          </w:tcPr>
          <w:p w14:paraId="649DD19C" w14:textId="4CC7D9EC" w:rsidR="00EE74F9" w:rsidRPr="002513B4" w:rsidRDefault="00EE74F9" w:rsidP="00C553FE">
            <w:pPr>
              <w:pStyle w:val="TableText"/>
            </w:pPr>
            <w:r w:rsidRPr="002513B4">
              <w:t>ADL levels (5-items)</w:t>
            </w:r>
            <w:r w:rsidR="006E65DF" w:rsidRPr="002513B4">
              <w:rPr>
                <w:rFonts w:cs="Arial"/>
                <w:vertAlign w:val="superscript"/>
              </w:rPr>
              <w:t>†</w:t>
            </w:r>
            <w:r w:rsidRPr="002513B4">
              <w:t xml:space="preserve"> </w:t>
            </w:r>
          </w:p>
        </w:tc>
        <w:tc>
          <w:tcPr>
            <w:tcW w:w="3060" w:type="dxa"/>
          </w:tcPr>
          <w:p w14:paraId="157F3A2C" w14:textId="77777777" w:rsidR="00EE74F9" w:rsidRPr="002513B4" w:rsidRDefault="00EE74F9" w:rsidP="00C553FE">
            <w:pPr>
              <w:pStyle w:val="TableText"/>
            </w:pPr>
            <w:r w:rsidRPr="002513B4">
              <w:t>Survey analysis</w:t>
            </w:r>
          </w:p>
        </w:tc>
      </w:tr>
      <w:tr w:rsidR="00EE74F9" w:rsidRPr="002513B4" w14:paraId="425AC087" w14:textId="77777777" w:rsidTr="006E65DF">
        <w:trPr>
          <w:cantSplit/>
        </w:trPr>
        <w:tc>
          <w:tcPr>
            <w:tcW w:w="6300" w:type="dxa"/>
            <w:tcBorders>
              <w:bottom w:val="single" w:sz="4" w:space="0" w:color="auto"/>
            </w:tcBorders>
          </w:tcPr>
          <w:p w14:paraId="63104881" w14:textId="3BBFF502" w:rsidR="00EE74F9" w:rsidRPr="002513B4" w:rsidRDefault="00EE74F9" w:rsidP="00C553FE">
            <w:pPr>
              <w:pStyle w:val="TableText"/>
            </w:pPr>
            <w:r w:rsidRPr="002513B4">
              <w:t>Number of ADLs for which patient is not independent (0–5)</w:t>
            </w:r>
            <w:r w:rsidR="006E65DF" w:rsidRPr="002513B4">
              <w:rPr>
                <w:rFonts w:cs="Arial"/>
                <w:vertAlign w:val="superscript"/>
              </w:rPr>
              <w:t>†</w:t>
            </w:r>
          </w:p>
        </w:tc>
        <w:tc>
          <w:tcPr>
            <w:tcW w:w="3060" w:type="dxa"/>
            <w:tcBorders>
              <w:bottom w:val="single" w:sz="4" w:space="0" w:color="auto"/>
            </w:tcBorders>
          </w:tcPr>
          <w:p w14:paraId="02BA5BA7" w14:textId="77777777" w:rsidR="00EE74F9" w:rsidRPr="002513B4" w:rsidRDefault="00EE74F9" w:rsidP="00C553FE">
            <w:pPr>
              <w:pStyle w:val="TableText"/>
            </w:pPr>
            <w:r w:rsidRPr="002513B4">
              <w:t>Survey analysis</w:t>
            </w:r>
          </w:p>
        </w:tc>
      </w:tr>
    </w:tbl>
    <w:p w14:paraId="0E0CC7E7" w14:textId="77777777" w:rsidR="007C3901" w:rsidRPr="002513B4" w:rsidRDefault="007C3901" w:rsidP="007C3901">
      <w:pPr>
        <w:pStyle w:val="Source"/>
        <w:rPr>
          <w:lang w:val="en-US"/>
        </w:rPr>
      </w:pPr>
      <w:r w:rsidRPr="002513B4">
        <w:rPr>
          <w:lang w:val="en-US"/>
        </w:rPr>
        <w:t xml:space="preserve">† HHAs should include the total ADLs </w:t>
      </w:r>
      <w:r w:rsidRPr="002513B4">
        <w:rPr>
          <w:b/>
          <w:bCs/>
          <w:lang w:val="en-US"/>
        </w:rPr>
        <w:t>or</w:t>
      </w:r>
      <w:r w:rsidRPr="002513B4">
        <w:rPr>
          <w:lang w:val="en-US"/>
        </w:rPr>
        <w:t xml:space="preserve"> the individual ADLs; both are not required.</w:t>
      </w:r>
    </w:p>
    <w:p w14:paraId="37965181" w14:textId="2328E66C" w:rsidR="00EE74F9" w:rsidRPr="002513B4" w:rsidRDefault="00EE74F9" w:rsidP="00EE74F9">
      <w:pPr>
        <w:pStyle w:val="BodyText"/>
        <w:rPr>
          <w:lang w:val="en-US"/>
        </w:rPr>
      </w:pPr>
      <w:r w:rsidRPr="002513B4">
        <w:rPr>
          <w:lang w:val="en-US"/>
        </w:rPr>
        <w:t xml:space="preserve">Many of the data elements from </w:t>
      </w:r>
      <w:r w:rsidRPr="002513B4">
        <w:rPr>
          <w:b/>
          <w:i/>
          <w:lang w:val="en-US"/>
        </w:rPr>
        <w:t>Table 4.1</w:t>
      </w:r>
      <w:r w:rsidRPr="002513B4">
        <w:rPr>
          <w:lang w:val="en-US"/>
        </w:rPr>
        <w:t xml:space="preserve"> that the HHA will include on the monthly patient files are on the patient’s Outcome and Assessment Information Set (OASIS) Assessment. The data elements needed may be found on the OASIS Start of Care (SOC) assessment, in the Resumption of Care (ROC) assessment, the Follow-up (FU) assessment, or the Discharge (DC) assessment. The HHA should provide the data for the activities of daily living (ADLs) from the most recent OASIS assessment.</w:t>
      </w:r>
    </w:p>
    <w:p w14:paraId="1CC1824E" w14:textId="6D994831" w:rsidR="00EE74F9" w:rsidRPr="002513B4" w:rsidRDefault="0034388C" w:rsidP="00EE74F9">
      <w:pPr>
        <w:pStyle w:val="Heading4"/>
        <w:rPr>
          <w:lang w:val="en-US"/>
        </w:rPr>
      </w:pPr>
      <w:r w:rsidRPr="002513B4">
        <w:rPr>
          <w:lang w:val="en-US"/>
        </w:rPr>
        <w:lastRenderedPageBreak/>
        <w:t>4.3.6</w:t>
      </w:r>
      <w:r w:rsidR="005F400D" w:rsidRPr="002513B4">
        <w:rPr>
          <w:lang w:val="en-US"/>
        </w:rPr>
        <w:tab/>
      </w:r>
      <w:r w:rsidR="00EE74F9" w:rsidRPr="002513B4">
        <w:rPr>
          <w:lang w:val="en-US"/>
        </w:rPr>
        <w:t xml:space="preserve">Explanation of Some of the Data Elements Required </w:t>
      </w:r>
      <w:r w:rsidR="009566DD" w:rsidRPr="002513B4">
        <w:rPr>
          <w:lang w:val="en-US"/>
        </w:rPr>
        <w:t>f</w:t>
      </w:r>
      <w:r w:rsidR="00EE74F9" w:rsidRPr="002513B4">
        <w:rPr>
          <w:lang w:val="en-US"/>
        </w:rPr>
        <w:t>rom HHAs</w:t>
      </w:r>
    </w:p>
    <w:p w14:paraId="46B0A5E7" w14:textId="77777777" w:rsidR="00EE74F9" w:rsidRPr="002513B4" w:rsidRDefault="00EE74F9" w:rsidP="00EE74F9">
      <w:pPr>
        <w:pStyle w:val="ListBullet"/>
      </w:pPr>
      <w:r w:rsidRPr="002513B4">
        <w:rPr>
          <w:b/>
          <w:bCs/>
          <w:color w:val="1F497D"/>
        </w:rPr>
        <w:t>Patient’s date of birth</w:t>
      </w:r>
      <w:r w:rsidRPr="002513B4">
        <w:t>. Patients must be 18 years of age by the end of the sample month in which they are sampled to be eligible for participation in the HHCAHPS</w:t>
      </w:r>
      <w:r w:rsidRPr="002513B4" w:rsidDel="00515DC4">
        <w:t xml:space="preserve"> </w:t>
      </w:r>
      <w:r w:rsidRPr="002513B4">
        <w:t>Survey.</w:t>
      </w:r>
    </w:p>
    <w:p w14:paraId="01D97845" w14:textId="77777777" w:rsidR="00EE74F9" w:rsidRPr="002513B4" w:rsidRDefault="00EE74F9" w:rsidP="00EE74F9">
      <w:pPr>
        <w:pStyle w:val="ListBullet"/>
      </w:pPr>
      <w:r w:rsidRPr="002513B4">
        <w:t xml:space="preserve">Vendors should ensure that their client HHAs include each patient’s </w:t>
      </w:r>
      <w:r w:rsidRPr="002513B4">
        <w:rPr>
          <w:b/>
          <w:bCs/>
          <w:color w:val="1F497D"/>
        </w:rPr>
        <w:t>mailing address</w:t>
      </w:r>
      <w:r w:rsidRPr="002513B4">
        <w:t>, even if a telephone survey is planned for that HHA. For client HHAs planning telephone surveys, the mailing address for each patient is needed so that the vendor can obtain or verify the sample patient’s telephone number. The HHA provides the initial contact information; however, survey vendors are strongly encouraged to use address verification or telephone number lookup services to obtain updated contact information.</w:t>
      </w:r>
    </w:p>
    <w:p w14:paraId="0EE7B162" w14:textId="77777777" w:rsidR="00EE74F9" w:rsidRPr="002513B4" w:rsidRDefault="00EE74F9" w:rsidP="00EE74F9">
      <w:pPr>
        <w:pStyle w:val="ListBullet"/>
      </w:pPr>
      <w:r w:rsidRPr="002513B4">
        <w:t xml:space="preserve">The patient’s </w:t>
      </w:r>
      <w:r w:rsidRPr="002513B4">
        <w:rPr>
          <w:b/>
          <w:bCs/>
          <w:color w:val="1F497D"/>
        </w:rPr>
        <w:t>medical record number</w:t>
      </w:r>
      <w:r w:rsidRPr="002513B4">
        <w:rPr>
          <w:color w:val="1F497D"/>
        </w:rPr>
        <w:t xml:space="preserve"> </w:t>
      </w:r>
      <w:r w:rsidRPr="002513B4">
        <w:t>is the unique identifier that the HHA assigns to the patient that allows the HHA to track and document the care provided to the patient. This number, along with other data elements, will allow the vendor to keep track of whether each patient has been recently sampled.</w:t>
      </w:r>
    </w:p>
    <w:p w14:paraId="698CA690" w14:textId="77777777" w:rsidR="00EE74F9" w:rsidRPr="002513B4" w:rsidRDefault="00EE74F9" w:rsidP="00EE74F9">
      <w:pPr>
        <w:pStyle w:val="ListBullet"/>
      </w:pPr>
      <w:r w:rsidRPr="002513B4">
        <w:rPr>
          <w:b/>
          <w:bCs/>
          <w:color w:val="1F497D"/>
        </w:rPr>
        <w:t>Number of skilled home health visits in the sample month</w:t>
      </w:r>
      <w:r w:rsidRPr="002513B4">
        <w:rPr>
          <w:color w:val="1F497D"/>
        </w:rPr>
        <w:t xml:space="preserve"> </w:t>
      </w:r>
      <w:r w:rsidRPr="002513B4">
        <w:t>should include only visits for skilled nursing care, physical therapy, occupational therapy, and speech therapy. The patient must have had at least one skilled care visit during the sample month.</w:t>
      </w:r>
    </w:p>
    <w:p w14:paraId="53DEC85D" w14:textId="77777777" w:rsidR="00EE74F9" w:rsidRPr="002513B4" w:rsidRDefault="00EE74F9" w:rsidP="00B06164">
      <w:pPr>
        <w:pStyle w:val="ListBullet"/>
        <w:spacing w:after="120"/>
      </w:pPr>
      <w:r w:rsidRPr="002513B4">
        <w:rPr>
          <w:b/>
          <w:bCs/>
          <w:color w:val="1F497D"/>
        </w:rPr>
        <w:t>Number of skilled visits in the lookback period.</w:t>
      </w:r>
      <w:r w:rsidRPr="002513B4">
        <w:rPr>
          <w:color w:val="1F497D"/>
        </w:rPr>
        <w:t xml:space="preserve"> </w:t>
      </w:r>
      <w:r w:rsidRPr="002513B4">
        <w:t>The lookback period is the sample month and the month immediately preceding the sample month. The patient must have had at least one skilled care visit during the sample month and two such visits during the lookback period.</w:t>
      </w:r>
    </w:p>
    <w:p w14:paraId="24B980C3" w14:textId="77777777" w:rsidR="00EE74F9" w:rsidRPr="002513B4" w:rsidRDefault="00EE74F9" w:rsidP="00A2712F">
      <w:pPr>
        <w:pStyle w:val="BodyText"/>
      </w:pPr>
      <w:r w:rsidRPr="002513B4">
        <w:t xml:space="preserve">For example, if a patient had only one skilled visit for the sample month of February, </w:t>
      </w:r>
      <w:r w:rsidR="004F1FC0" w:rsidRPr="002513B4">
        <w:t>they must</w:t>
      </w:r>
      <w:r w:rsidRPr="002513B4">
        <w:t xml:space="preserve"> have at least one skilled visit in January to meet the two-visit requirement. If the patient had two skilled visits in the sample month or one in each month, the requirement of having two such visits during the lookback period has been met.</w:t>
      </w:r>
      <w:r w:rsidRPr="002513B4">
        <w:rPr>
          <w:b/>
        </w:rPr>
        <w:t xml:space="preserve"> </w:t>
      </w:r>
      <w:r w:rsidRPr="002513B4">
        <w:t xml:space="preserve">If the patient did not have any skilled visits during the sample month but two during the lookback period, the patient is not eligible to be included in the survey because </w:t>
      </w:r>
      <w:r w:rsidR="00A521FE" w:rsidRPr="002513B4">
        <w:t>they</w:t>
      </w:r>
      <w:r w:rsidRPr="002513B4">
        <w:t xml:space="preserve"> did not have at least one skilled visit during the sample month.</w:t>
      </w:r>
    </w:p>
    <w:p w14:paraId="7B8D7EAB" w14:textId="77777777" w:rsidR="00EE74F9" w:rsidRPr="002513B4" w:rsidRDefault="00EE74F9" w:rsidP="00A2712F">
      <w:pPr>
        <w:pStyle w:val="BodyText"/>
      </w:pPr>
      <w:r w:rsidRPr="002513B4">
        <w:t>Vendors should make sure that they are defining the lookback period correctly in all communications with their HHA clients, including in written specifications for providing the monthly patient information files and in marketing materials. The lookback period must be defined in terms of months, not days. Use of terms such as “previous 60 days” or “60-day lookback period” is not correct because some lookback periods contain more than 60 days while the lookback period for the March sample month will contain fewer than 60 days.</w:t>
      </w:r>
    </w:p>
    <w:p w14:paraId="7E417169" w14:textId="77777777" w:rsidR="00EE74F9" w:rsidRPr="002513B4" w:rsidRDefault="00EE74F9" w:rsidP="00A2712F">
      <w:pPr>
        <w:pStyle w:val="BodyText"/>
      </w:pPr>
      <w:r w:rsidRPr="002513B4">
        <w:t>Note that HHCAHPS Survey vendors must include on the</w:t>
      </w:r>
      <w:r w:rsidR="00FE10B1" w:rsidRPr="002513B4">
        <w:t xml:space="preserve"> XML data</w:t>
      </w:r>
      <w:r w:rsidRPr="002513B4">
        <w:t xml:space="preserve"> file submitted to the HHCAHPS Survey Data Center the number of skilled visits the patient had in the lookback </w:t>
      </w:r>
      <w:r w:rsidRPr="002513B4">
        <w:lastRenderedPageBreak/>
        <w:t>period that is provided on the monthly patient information file submitted by the HHA. This means that the survey vendor cannot calculate the number of visits in the lookback period for a patient by adding the number of skilled visits reported for the current sample month with the number of visits included on the monthly patient information file submitted by the HHA for the preceding sample month. However, if an HHA or its IT vendor provides the dates of all visits in the lookback period instead of the total number of visits, it is acceptable for the vendor to calculate the total number of visits in the lookback period. Note that this is the only reason that a vendor should calculate the number of lookback visits.</w:t>
      </w:r>
    </w:p>
    <w:p w14:paraId="2FA8BCC3" w14:textId="77777777" w:rsidR="00EE74F9" w:rsidRPr="002513B4" w:rsidRDefault="00EE74F9" w:rsidP="00A2712F">
      <w:pPr>
        <w:pStyle w:val="BodyText"/>
      </w:pPr>
      <w:r w:rsidRPr="002513B4">
        <w:t>If the HHA does not include the number of lookback period visits on the monthly patient information file, the survey vendor should contact the HHA to obtain the number of visits in the lookback period. If the HHA cannot provide the number of skilled visits the patient had in the lookback period, the vendor should include the patient on the sample frame if the patient had at least one skilled visit in the sample month. If the HHA cannot provide the number of visits in the lookback period, the vendor should enter “M” (for Missing) for the lookback data element for this patient on the</w:t>
      </w:r>
      <w:r w:rsidR="00FE10B1" w:rsidRPr="002513B4">
        <w:t xml:space="preserve"> XML</w:t>
      </w:r>
      <w:r w:rsidRPr="002513B4">
        <w:t xml:space="preserve"> data file submitted to the Data Center.</w:t>
      </w:r>
    </w:p>
    <w:p w14:paraId="775E42CD" w14:textId="77777777" w:rsidR="00EE74F9" w:rsidRPr="002513B4" w:rsidRDefault="00EE74F9" w:rsidP="00B06164">
      <w:pPr>
        <w:pStyle w:val="ListBullet"/>
        <w:spacing w:after="120"/>
      </w:pPr>
      <w:r w:rsidRPr="002513B4">
        <w:rPr>
          <w:b/>
          <w:bCs/>
          <w:color w:val="1F497D"/>
        </w:rPr>
        <w:t>Source of admission</w:t>
      </w:r>
      <w:r w:rsidRPr="002513B4">
        <w:rPr>
          <w:color w:val="1F497D"/>
        </w:rPr>
        <w:t xml:space="preserve"> </w:t>
      </w:r>
      <w:r w:rsidRPr="002513B4">
        <w:t>is the place of residence or medical care setting from which the patient was admitted. The equivalent data element in OASIS may be used as the response.</w:t>
      </w:r>
    </w:p>
    <w:p w14:paraId="7635BAFD" w14:textId="77777777" w:rsidR="00EE74F9" w:rsidRPr="002513B4" w:rsidRDefault="00EE74F9" w:rsidP="00A2712F">
      <w:pPr>
        <w:pStyle w:val="BodyText"/>
      </w:pPr>
      <w:r w:rsidRPr="002513B4">
        <w:t>If the HHA did not receive any information about the source of admission or regarding an inpatient stay prior to the patient being admitted for home health care, the HHA should indicate that the patient was admitted from the “community.” The term “community setting” refers to facilities that do not provide medical care, thus facilities such as hospitals, skilled nursing facilities, and nursing homes are not considered “community.” The code “community” is used if the patient was admitted from a private residence, an independent living facility, or an assisted living facility. Also, the HHA should report the source of admission as “community” if the patient was referred for home health care by a physician but lives in a private residence, an independent living facility, or an assisted living facility.</w:t>
      </w:r>
    </w:p>
    <w:p w14:paraId="06537A51" w14:textId="77777777" w:rsidR="00EE74F9" w:rsidRPr="002513B4" w:rsidRDefault="00EE74F9" w:rsidP="00A2712F">
      <w:pPr>
        <w:pStyle w:val="BodyText"/>
      </w:pPr>
      <w:r w:rsidRPr="002513B4">
        <w:t xml:space="preserve">Also note that the HHA can provide multiple sources of admission; the survey vendor </w:t>
      </w:r>
      <w:r w:rsidR="00FE10B1" w:rsidRPr="002513B4">
        <w:t xml:space="preserve">should </w:t>
      </w:r>
      <w:r w:rsidRPr="002513B4">
        <w:t xml:space="preserve">include all sources of admission on the </w:t>
      </w:r>
      <w:r w:rsidR="00D818AA" w:rsidRPr="002513B4">
        <w:t xml:space="preserve">XML </w:t>
      </w:r>
      <w:r w:rsidRPr="002513B4">
        <w:t>data files submitted to the HHCAHPS</w:t>
      </w:r>
      <w:r w:rsidRPr="002513B4" w:rsidDel="00EE6576">
        <w:t xml:space="preserve"> </w:t>
      </w:r>
      <w:r w:rsidRPr="002513B4">
        <w:t xml:space="preserve">Survey Data Center. If the admission source is missing from the HHA’s monthly file, the vendor should enter the missing code on the </w:t>
      </w:r>
      <w:r w:rsidR="00FE10B1" w:rsidRPr="002513B4">
        <w:t xml:space="preserve">XML </w:t>
      </w:r>
      <w:r w:rsidRPr="002513B4">
        <w:t>data file that will be submitted to the HHCAHPS Survey Data Center.</w:t>
      </w:r>
    </w:p>
    <w:p w14:paraId="4B883963" w14:textId="77777777" w:rsidR="00EE74F9" w:rsidRPr="002513B4" w:rsidRDefault="00EE74F9" w:rsidP="00B06164">
      <w:pPr>
        <w:pStyle w:val="ListBullet"/>
        <w:spacing w:after="120"/>
      </w:pPr>
      <w:r w:rsidRPr="002513B4">
        <w:rPr>
          <w:b/>
          <w:bCs/>
          <w:color w:val="1F497D"/>
        </w:rPr>
        <w:t>Payment source</w:t>
      </w:r>
      <w:r w:rsidRPr="002513B4">
        <w:t xml:space="preserve">. Enter the source(s) of payment for the patient’s home health care. Note that multiple sources may apply. The HHA should provide the vendor with all applicable sources of payment for the care. The survey vendor, in turn, </w:t>
      </w:r>
      <w:r w:rsidR="00FE10B1" w:rsidRPr="002513B4">
        <w:t xml:space="preserve">should </w:t>
      </w:r>
      <w:r w:rsidRPr="002513B4">
        <w:t xml:space="preserve">include all sources of payment for the patient’s care on the </w:t>
      </w:r>
      <w:r w:rsidR="00FE10B1" w:rsidRPr="002513B4">
        <w:t>XML</w:t>
      </w:r>
      <w:r w:rsidRPr="002513B4">
        <w:t xml:space="preserve"> data files that are submitted to the Data Center.</w:t>
      </w:r>
    </w:p>
    <w:p w14:paraId="440E5B23" w14:textId="77777777" w:rsidR="00EE74F9" w:rsidRPr="002513B4" w:rsidRDefault="00EE74F9" w:rsidP="00A2712F">
      <w:pPr>
        <w:pStyle w:val="BodyText"/>
      </w:pPr>
      <w:r w:rsidRPr="002513B4">
        <w:lastRenderedPageBreak/>
        <w:t>The source of payment is Item M0150 on the OASIS Start of Care assessment. If the payment source is missing for a patient, the survey vendor must enter the missing code for this data element for the patient on the</w:t>
      </w:r>
      <w:r w:rsidR="00FE10B1" w:rsidRPr="002513B4">
        <w:t xml:space="preserve"> XML data</w:t>
      </w:r>
      <w:r w:rsidRPr="002513B4">
        <w:t xml:space="preserve"> file submitted to the Data Center.</w:t>
      </w:r>
    </w:p>
    <w:p w14:paraId="75CB3530" w14:textId="3415F55B" w:rsidR="00EE74F9" w:rsidRPr="002513B4" w:rsidRDefault="00EE74F9" w:rsidP="00A2712F">
      <w:pPr>
        <w:pStyle w:val="BodyText"/>
      </w:pPr>
      <w:r w:rsidRPr="002513B4">
        <w:t>If the HHA does not include the source of payment on the monthly patient information file, the vendor should contact the HHA to obtain the source of payment. If the HHA cannot provide the so</w:t>
      </w:r>
      <w:r w:rsidR="006F6489" w:rsidRPr="002513B4">
        <w:t>u</w:t>
      </w:r>
      <w:r w:rsidRPr="002513B4">
        <w:t>rce of payment, the vendor should assume that the patient’s care is covered by Medicare or Medicaid and include the patient on the sampling frame if the patient meets all other survey eligibility criteria.</w:t>
      </w:r>
    </w:p>
    <w:p w14:paraId="0FC46CB9" w14:textId="77777777" w:rsidR="00EE74F9" w:rsidRPr="002513B4" w:rsidRDefault="00EE74F9" w:rsidP="00EE74F9">
      <w:pPr>
        <w:pStyle w:val="ListBullet"/>
      </w:pPr>
      <w:r w:rsidRPr="002513B4">
        <w:t xml:space="preserve">The </w:t>
      </w:r>
      <w:r w:rsidRPr="002513B4">
        <w:rPr>
          <w:b/>
          <w:bCs/>
          <w:color w:val="1F497D"/>
        </w:rPr>
        <w:t>HMO Indicator</w:t>
      </w:r>
      <w:r w:rsidRPr="002513B4">
        <w:rPr>
          <w:color w:val="1F497D"/>
        </w:rPr>
        <w:t xml:space="preserve"> </w:t>
      </w:r>
      <w:r w:rsidRPr="002513B4">
        <w:t>is an indication of whether the patient is enrolled in a health maintenance organization (HMO), which coordinates patient care and has a network of providers to which patients can go for care. This indicator should be coded “yes” if the patient is enrolled in a Medicare Advantage plan or a Medicaid managed care plan.</w:t>
      </w:r>
    </w:p>
    <w:p w14:paraId="04B92C42" w14:textId="0B498C17" w:rsidR="00EE74F9" w:rsidRPr="002513B4" w:rsidRDefault="00EE74F9" w:rsidP="00EE74F9">
      <w:pPr>
        <w:pStyle w:val="ListBullet"/>
        <w:rPr>
          <w:rFonts w:eastAsia="Batang"/>
        </w:rPr>
      </w:pPr>
      <w:r w:rsidRPr="002513B4">
        <w:rPr>
          <w:rFonts w:eastAsia="Batang"/>
          <w:b/>
          <w:bCs/>
          <w:color w:val="1F497D"/>
        </w:rPr>
        <w:t>ESRD indicator</w:t>
      </w:r>
      <w:r w:rsidRPr="002513B4">
        <w:rPr>
          <w:rFonts w:eastAsia="Batang"/>
        </w:rPr>
        <w:t>. ESRD is an indicator of whether the patient has End-Stage Renal Disease. This indicator should be coded “yes” if any of the following</w:t>
      </w:r>
      <w:r w:rsidR="000E704D" w:rsidRPr="002513B4">
        <w:rPr>
          <w:rFonts w:eastAsia="Batang"/>
        </w:rPr>
        <w:t xml:space="preserve"> ICD-10</w:t>
      </w:r>
      <w:r w:rsidRPr="002513B4">
        <w:rPr>
          <w:rFonts w:eastAsia="Batang"/>
        </w:rPr>
        <w:t xml:space="preserve"> diagnosis codes are present: I12.0, I13.11, I13.2, N18.6, Z91.15, or Z99.2.</w:t>
      </w:r>
    </w:p>
    <w:p w14:paraId="4EE394E0" w14:textId="77777777" w:rsidR="00EE74F9" w:rsidRPr="002513B4" w:rsidRDefault="00EE74F9" w:rsidP="00DD0082">
      <w:pPr>
        <w:pStyle w:val="ListBullet"/>
        <w:spacing w:after="120"/>
        <w:rPr>
          <w:rFonts w:eastAsia="Batang"/>
        </w:rPr>
      </w:pPr>
      <w:r w:rsidRPr="002513B4">
        <w:rPr>
          <w:rFonts w:eastAsia="Batang"/>
          <w:b/>
          <w:bCs/>
          <w:color w:val="1F497D"/>
        </w:rPr>
        <w:t>Activities of Daily Living</w:t>
      </w:r>
      <w:r w:rsidRPr="002513B4">
        <w:rPr>
          <w:rFonts w:eastAsia="Batang"/>
        </w:rPr>
        <w:t xml:space="preserve">. Note that HHAs can provide on the monthly patient information file that they submit to the survey vendor </w:t>
      </w:r>
      <w:r w:rsidRPr="002513B4">
        <w:rPr>
          <w:rFonts w:eastAsia="Batang"/>
          <w:b/>
          <w:bCs/>
        </w:rPr>
        <w:t>either</w:t>
      </w:r>
      <w:r w:rsidRPr="002513B4">
        <w:rPr>
          <w:rFonts w:eastAsia="Batang"/>
        </w:rPr>
        <w:t xml:space="preserve"> the </w:t>
      </w:r>
      <w:r w:rsidRPr="002513B4">
        <w:rPr>
          <w:rFonts w:eastAsia="Batang"/>
          <w:i/>
          <w:iCs/>
        </w:rPr>
        <w:t xml:space="preserve">code </w:t>
      </w:r>
      <w:r w:rsidRPr="002513B4">
        <w:rPr>
          <w:rFonts w:eastAsia="Batang"/>
        </w:rPr>
        <w:t xml:space="preserve">for each of the five individual ADL data elements </w:t>
      </w:r>
      <w:r w:rsidRPr="002513B4">
        <w:rPr>
          <w:rFonts w:eastAsia="Batang"/>
          <w:b/>
          <w:bCs/>
        </w:rPr>
        <w:t>or</w:t>
      </w:r>
      <w:r w:rsidRPr="002513B4">
        <w:rPr>
          <w:rFonts w:eastAsia="Batang"/>
        </w:rPr>
        <w:t xml:space="preserve"> the </w:t>
      </w:r>
      <w:r w:rsidRPr="002513B4">
        <w:rPr>
          <w:rFonts w:eastAsia="Batang"/>
          <w:i/>
          <w:iCs/>
        </w:rPr>
        <w:t>total count of ADLs</w:t>
      </w:r>
      <w:r w:rsidRPr="002513B4">
        <w:rPr>
          <w:rFonts w:eastAsia="Batang"/>
        </w:rPr>
        <w:t xml:space="preserve"> for which the patient is not fully independent, the “ADL Deficits” XML data element. The HHA should report the five individual ADL codes as taken from the list in the patient’s OASIS assessment. They are Ability to Dress Upper Body (M1810), Ability to Dress Lower Body (M1820), Bathing (M1830), Toilet Transferring (M1840), and Transferring (M1850). When reporting these ADL codes, the HHA must use the most current code on file for those data elements.</w:t>
      </w:r>
    </w:p>
    <w:p w14:paraId="0BD3385C" w14:textId="77777777" w:rsidR="00EE74F9" w:rsidRPr="002513B4" w:rsidRDefault="00EE74F9" w:rsidP="00A2712F">
      <w:pPr>
        <w:pStyle w:val="BodyText"/>
      </w:pPr>
      <w:r w:rsidRPr="002513B4">
        <w:t xml:space="preserve">If the HHA provides the OASIS values for the five individual ADL data elements on its file, the vendor should enter the code provided for each of the five ADLs that were assessed for that patient on the XML </w:t>
      </w:r>
      <w:r w:rsidR="00B31B59" w:rsidRPr="002513B4">
        <w:t xml:space="preserve">data </w:t>
      </w:r>
      <w:r w:rsidRPr="002513B4">
        <w:t>file it submits to the Data Center. The only acceptable range of codes for each of the five ADL Deficits is 0-5 and M (missing).</w:t>
      </w:r>
    </w:p>
    <w:p w14:paraId="4125D2E0" w14:textId="77777777" w:rsidR="00EE74F9" w:rsidRPr="002513B4" w:rsidRDefault="00EE74F9" w:rsidP="00A2712F">
      <w:pPr>
        <w:pStyle w:val="BodyText"/>
      </w:pPr>
      <w:r w:rsidRPr="002513B4">
        <w:t xml:space="preserve">If the HHA provides the total count of ADL data elements (“ADL Deficits”), that count would be the total number of the five ADL data elements </w:t>
      </w:r>
      <w:r w:rsidRPr="002513B4">
        <w:rPr>
          <w:b/>
          <w:bCs/>
        </w:rPr>
        <w:t>not</w:t>
      </w:r>
      <w:r w:rsidRPr="002513B4">
        <w:t xml:space="preserve"> coded as a “0” as taken from OASIS. Note that if an HHA submits a value for the ADL deficits total count data element that exceeds 5, vendors should recode this data element to 5.</w:t>
      </w:r>
    </w:p>
    <w:p w14:paraId="6317B0B7" w14:textId="77777777" w:rsidR="00EE74F9" w:rsidRPr="002513B4" w:rsidRDefault="00EE74F9" w:rsidP="00A2712F">
      <w:pPr>
        <w:pStyle w:val="BodyText"/>
      </w:pPr>
      <w:r w:rsidRPr="002513B4">
        <w:t>HHCAHPS Survey vendors must enter on the XML</w:t>
      </w:r>
      <w:r w:rsidR="00B31B59" w:rsidRPr="002513B4">
        <w:t xml:space="preserve"> data</w:t>
      </w:r>
      <w:r w:rsidRPr="002513B4">
        <w:t xml:space="preserve"> file that they submit to the Data Center the same information that is provided by the HHA. That is, the vendor should provide in its </w:t>
      </w:r>
      <w:r w:rsidR="00D818AA" w:rsidRPr="002513B4">
        <w:t>XML data file</w:t>
      </w:r>
      <w:r w:rsidRPr="002513B4">
        <w:t xml:space="preserve"> the five individual ADL counts, or the total count of ADL deficits, </w:t>
      </w:r>
      <w:r w:rsidRPr="002513B4">
        <w:lastRenderedPageBreak/>
        <w:t>or both if provided by the HHA. Survey vendors are not allowed to calculate the total count of ADLs for which the sample patient is not fully independent.</w:t>
      </w:r>
    </w:p>
    <w:p w14:paraId="1EE3586A" w14:textId="467A0FD5" w:rsidR="00EE74F9" w:rsidRPr="002513B4" w:rsidRDefault="0034388C" w:rsidP="00EE74F9">
      <w:pPr>
        <w:pStyle w:val="Heading4"/>
        <w:rPr>
          <w:lang w:val="en-US"/>
        </w:rPr>
      </w:pPr>
      <w:r w:rsidRPr="002513B4">
        <w:rPr>
          <w:lang w:val="en-US"/>
        </w:rPr>
        <w:t xml:space="preserve">4.3.7 </w:t>
      </w:r>
      <w:r w:rsidR="00B06164" w:rsidRPr="002513B4">
        <w:rPr>
          <w:lang w:val="en-US"/>
        </w:rPr>
        <w:tab/>
      </w:r>
      <w:r w:rsidR="00EE74F9" w:rsidRPr="002513B4">
        <w:rPr>
          <w:lang w:val="en-US"/>
        </w:rPr>
        <w:t>Option to Submit Separate Files to Vendor</w:t>
      </w:r>
    </w:p>
    <w:p w14:paraId="12C39E9F" w14:textId="6F6DEC74" w:rsidR="00EE74F9" w:rsidRPr="002513B4" w:rsidRDefault="00EE74F9" w:rsidP="00EE74F9">
      <w:pPr>
        <w:pStyle w:val="BodyText"/>
        <w:rPr>
          <w:lang w:val="en-US"/>
        </w:rPr>
      </w:pPr>
      <w:r w:rsidRPr="002513B4">
        <w:rPr>
          <w:lang w:val="en-US"/>
        </w:rPr>
        <w:t xml:space="preserve">If an HHA cannot provide </w:t>
      </w:r>
      <w:proofErr w:type="gramStart"/>
      <w:r w:rsidRPr="002513B4">
        <w:rPr>
          <w:lang w:val="en-US"/>
        </w:rPr>
        <w:t>all of</w:t>
      </w:r>
      <w:proofErr w:type="gramEnd"/>
      <w:r w:rsidRPr="002513B4">
        <w:rPr>
          <w:lang w:val="en-US"/>
        </w:rPr>
        <w:t xml:space="preserve"> the patient information needed in time for the vendor to select the sample and field the survey within 21 days after the sample month ends, the HHA should submit two separate files. The first file should be submitted as soon as possible after the sample month ends and should include all data elements that the vendor will need to determine whether patients on the file are eligible for the survey and for fielding the survey. This includes the following data elements:</w:t>
      </w:r>
    </w:p>
    <w:p w14:paraId="75A8F181" w14:textId="77777777" w:rsidR="00EE74F9" w:rsidRPr="002513B4" w:rsidRDefault="00EE74F9" w:rsidP="00B06164">
      <w:pPr>
        <w:pStyle w:val="ListBullet"/>
      </w:pPr>
      <w:r w:rsidRPr="002513B4">
        <w:t>Patient contact information (name, address, and phone number);</w:t>
      </w:r>
    </w:p>
    <w:p w14:paraId="6D45E775" w14:textId="67151174" w:rsidR="00EE74F9" w:rsidRPr="002513B4" w:rsidRDefault="00EE74F9" w:rsidP="00B06164">
      <w:pPr>
        <w:pStyle w:val="ListBullet"/>
      </w:pPr>
      <w:r w:rsidRPr="002513B4">
        <w:t xml:space="preserve">The patient’s date of birth and </w:t>
      </w:r>
      <w:r w:rsidR="00C80495" w:rsidRPr="002513B4">
        <w:t>sex</w:t>
      </w:r>
      <w:r w:rsidRPr="002513B4">
        <w:t>;</w:t>
      </w:r>
    </w:p>
    <w:p w14:paraId="2DCD6E9D" w14:textId="77777777" w:rsidR="00EE74F9" w:rsidRPr="002513B4" w:rsidRDefault="00EE74F9" w:rsidP="00B06164">
      <w:pPr>
        <w:pStyle w:val="ListBullet"/>
      </w:pPr>
      <w:r w:rsidRPr="002513B4">
        <w:t>The number of skilled visits the patient had in the sample month;</w:t>
      </w:r>
    </w:p>
    <w:p w14:paraId="3D19414C" w14:textId="77777777" w:rsidR="00EE74F9" w:rsidRPr="002513B4" w:rsidRDefault="00EE74F9" w:rsidP="00B06164">
      <w:pPr>
        <w:pStyle w:val="ListBullet"/>
      </w:pPr>
      <w:r w:rsidRPr="002513B4">
        <w:t>The number of skilled visits the patient had during the lookback period; and</w:t>
      </w:r>
    </w:p>
    <w:p w14:paraId="0CEAC64C" w14:textId="77777777" w:rsidR="00EE74F9" w:rsidRPr="002513B4" w:rsidRDefault="00EE74F9" w:rsidP="00B06164">
      <w:pPr>
        <w:pStyle w:val="ListBullet"/>
      </w:pPr>
      <w:r w:rsidRPr="002513B4">
        <w:t>The payer source data element.</w:t>
      </w:r>
    </w:p>
    <w:p w14:paraId="25C6023D" w14:textId="2E4B7DF6" w:rsidR="00EE74F9" w:rsidRPr="002513B4" w:rsidRDefault="00EE74F9" w:rsidP="00EE74F9">
      <w:pPr>
        <w:pStyle w:val="BodyText"/>
        <w:rPr>
          <w:lang w:val="en-US"/>
        </w:rPr>
      </w:pPr>
      <w:r w:rsidRPr="002513B4">
        <w:rPr>
          <w:lang w:val="en-US"/>
        </w:rPr>
        <w:t xml:space="preserve">The HHA should submit </w:t>
      </w:r>
      <w:proofErr w:type="gramStart"/>
      <w:r w:rsidRPr="002513B4">
        <w:rPr>
          <w:lang w:val="en-US"/>
        </w:rPr>
        <w:t>all of</w:t>
      </w:r>
      <w:proofErr w:type="gramEnd"/>
      <w:r w:rsidRPr="002513B4">
        <w:rPr>
          <w:lang w:val="en-US"/>
        </w:rPr>
        <w:t xml:space="preserve"> the other data elements (Medical Record Number, HMO indicator, admission source, ADLs, surgical discharge, end-stage renal disease, and Medicare/Medicaid dual eligibility indicators) in a second or appended file, which should be submitted to the vendor no later than 6 weeks after the sample month ends.</w:t>
      </w:r>
    </w:p>
    <w:p w14:paraId="3850B394" w14:textId="6D7630D0" w:rsidR="00EE74F9" w:rsidRPr="002513B4" w:rsidRDefault="00EE74F9" w:rsidP="00EE74F9">
      <w:pPr>
        <w:pStyle w:val="BodyText"/>
        <w:rPr>
          <w:rFonts w:eastAsia="Batang"/>
          <w:lang w:val="en-US"/>
        </w:rPr>
      </w:pPr>
      <w:r w:rsidRPr="002513B4">
        <w:rPr>
          <w:lang w:val="en-US"/>
        </w:rPr>
        <w:t xml:space="preserve">Although HHCAHPS Survey vendors are urged to make a good faith effort to obtain accurate payer source information for each patient from their client HHAs, in some instances the HHA may not provide all data elements needed for the survey. If the HHA cannot provide the missing information when the vendor follows up with the HHA or cannot provide it in time for the sample to be selected and the survey initiated within 21 days after the sample month ends, the vendor should consider the patient eligible, include him or her on the sampling frame, and include that patient in the survey if </w:t>
      </w:r>
      <w:r w:rsidR="00A521FE" w:rsidRPr="002513B4">
        <w:rPr>
          <w:lang w:val="en-US"/>
        </w:rPr>
        <w:t>they are</w:t>
      </w:r>
      <w:r w:rsidRPr="002513B4">
        <w:rPr>
          <w:lang w:val="en-US"/>
        </w:rPr>
        <w:t xml:space="preserve"> sampled.</w:t>
      </w:r>
      <w:r w:rsidRPr="002513B4" w:rsidDel="00F67AE1">
        <w:rPr>
          <w:lang w:val="en-US"/>
        </w:rPr>
        <w:t xml:space="preserve"> </w:t>
      </w:r>
      <w:r w:rsidRPr="002513B4">
        <w:rPr>
          <w:rFonts w:eastAsia="Batang"/>
          <w:lang w:val="en-US"/>
        </w:rPr>
        <w:t xml:space="preserve">More information about the data elements that the survey vendor should include on </w:t>
      </w:r>
      <w:r w:rsidR="00305894" w:rsidRPr="002513B4">
        <w:rPr>
          <w:rFonts w:eastAsia="Batang"/>
          <w:lang w:val="en-US"/>
        </w:rPr>
        <w:t xml:space="preserve">XML </w:t>
      </w:r>
      <w:r w:rsidRPr="002513B4">
        <w:rPr>
          <w:rFonts w:eastAsia="Batang"/>
          <w:lang w:val="en-US"/>
        </w:rPr>
        <w:t xml:space="preserve">data files submitted to the Data Center and how </w:t>
      </w:r>
      <w:r w:rsidRPr="002513B4">
        <w:rPr>
          <w:lang w:val="en-US"/>
        </w:rPr>
        <w:t>those</w:t>
      </w:r>
      <w:r w:rsidRPr="002513B4">
        <w:rPr>
          <w:rFonts w:eastAsia="Batang"/>
          <w:lang w:val="en-US"/>
        </w:rPr>
        <w:t xml:space="preserve"> data elements should be coded is provided in </w:t>
      </w:r>
      <w:r w:rsidRPr="002513B4">
        <w:rPr>
          <w:rFonts w:eastAsia="Batang"/>
          <w:b/>
          <w:i/>
          <w:lang w:val="en-US"/>
        </w:rPr>
        <w:t xml:space="preserve">Chapters </w:t>
      </w:r>
      <w:r w:rsidR="00872E57" w:rsidRPr="002513B4">
        <w:rPr>
          <w:rFonts w:eastAsia="Batang"/>
          <w:b/>
          <w:i/>
          <w:lang w:val="en-US"/>
        </w:rPr>
        <w:t>9</w:t>
      </w:r>
      <w:r w:rsidRPr="002513B4">
        <w:rPr>
          <w:rFonts w:eastAsia="Batang"/>
          <w:b/>
          <w:i/>
          <w:lang w:val="en-US"/>
        </w:rPr>
        <w:t xml:space="preserve"> </w:t>
      </w:r>
      <w:r w:rsidRPr="002513B4">
        <w:rPr>
          <w:rFonts w:eastAsia="Batang"/>
          <w:lang w:val="en-US"/>
        </w:rPr>
        <w:t>and</w:t>
      </w:r>
      <w:r w:rsidRPr="002513B4">
        <w:rPr>
          <w:rFonts w:eastAsia="Batang"/>
          <w:b/>
          <w:i/>
          <w:lang w:val="en-US"/>
        </w:rPr>
        <w:t xml:space="preserve"> </w:t>
      </w:r>
      <w:r w:rsidR="00872E57" w:rsidRPr="002513B4">
        <w:rPr>
          <w:rFonts w:eastAsia="Batang"/>
          <w:b/>
          <w:i/>
          <w:lang w:val="en-US"/>
        </w:rPr>
        <w:t>10</w:t>
      </w:r>
      <w:r w:rsidRPr="002513B4">
        <w:rPr>
          <w:rFonts w:eastAsia="Batang"/>
          <w:lang w:val="en-US"/>
        </w:rPr>
        <w:t>.</w:t>
      </w:r>
    </w:p>
    <w:p w14:paraId="0B06114E" w14:textId="77777777" w:rsidR="00EE74F9" w:rsidRPr="002513B4" w:rsidRDefault="00EE74F9" w:rsidP="00EE74F9">
      <w:pPr>
        <w:pStyle w:val="BodyText"/>
        <w:rPr>
          <w:rFonts w:eastAsia="Batang"/>
          <w:lang w:val="en-US"/>
        </w:rPr>
      </w:pPr>
      <w:r w:rsidRPr="002513B4">
        <w:rPr>
          <w:szCs w:val="24"/>
          <w:lang w:val="en-US"/>
        </w:rPr>
        <w:t>Note that vendors must select the sample for each HHA at one point in time; that is, vendors cannot select two separate samples for the same month. If an HHA submits a second file with additional patients, and data collection has already begun for that sample month, the vendor must not select a second sample but should report this situation via a</w:t>
      </w:r>
      <w:r w:rsidR="00305894" w:rsidRPr="002513B4">
        <w:rPr>
          <w:szCs w:val="24"/>
          <w:lang w:val="en-US"/>
        </w:rPr>
        <w:t xml:space="preserve"> Discrepancy Notification Report</w:t>
      </w:r>
      <w:r w:rsidRPr="002513B4">
        <w:rPr>
          <w:szCs w:val="24"/>
          <w:lang w:val="en-US"/>
        </w:rPr>
        <w:t xml:space="preserve"> </w:t>
      </w:r>
      <w:r w:rsidR="00305894" w:rsidRPr="002513B4">
        <w:rPr>
          <w:szCs w:val="24"/>
          <w:lang w:val="en-US"/>
        </w:rPr>
        <w:t>(</w:t>
      </w:r>
      <w:r w:rsidRPr="002513B4">
        <w:rPr>
          <w:szCs w:val="24"/>
          <w:lang w:val="en-US"/>
        </w:rPr>
        <w:t>DNR</w:t>
      </w:r>
      <w:r w:rsidR="00305894" w:rsidRPr="002513B4">
        <w:rPr>
          <w:szCs w:val="24"/>
          <w:lang w:val="en-US"/>
        </w:rPr>
        <w:t>)</w:t>
      </w:r>
      <w:r w:rsidRPr="002513B4">
        <w:rPr>
          <w:szCs w:val="24"/>
          <w:lang w:val="en-US"/>
        </w:rPr>
        <w:t>, with a count of the number of additional eligible patients that were not included.</w:t>
      </w:r>
    </w:p>
    <w:p w14:paraId="02D29D54" w14:textId="0C8597CD" w:rsidR="00EE74F9" w:rsidRPr="002513B4" w:rsidRDefault="0034388C" w:rsidP="00EE74F9">
      <w:pPr>
        <w:pStyle w:val="Heading4"/>
        <w:rPr>
          <w:lang w:val="en-US"/>
        </w:rPr>
      </w:pPr>
      <w:r w:rsidRPr="002513B4">
        <w:rPr>
          <w:lang w:val="en-US"/>
        </w:rPr>
        <w:lastRenderedPageBreak/>
        <w:t>4.3.8</w:t>
      </w:r>
      <w:r w:rsidR="00B06164" w:rsidRPr="002513B4">
        <w:rPr>
          <w:lang w:val="en-US"/>
        </w:rPr>
        <w:tab/>
      </w:r>
      <w:r w:rsidR="00EE74F9" w:rsidRPr="002513B4">
        <w:rPr>
          <w:lang w:val="en-US"/>
        </w:rPr>
        <w:t>Surveying Non-Medicare</w:t>
      </w:r>
      <w:r w:rsidR="00305894" w:rsidRPr="002513B4">
        <w:rPr>
          <w:lang w:val="en-US"/>
        </w:rPr>
        <w:t xml:space="preserve"> and</w:t>
      </w:r>
      <w:r w:rsidR="0005547B" w:rsidRPr="002513B4">
        <w:rPr>
          <w:lang w:val="en-US"/>
        </w:rPr>
        <w:t xml:space="preserve">/or </w:t>
      </w:r>
      <w:r w:rsidR="00305894" w:rsidRPr="002513B4">
        <w:rPr>
          <w:lang w:val="en-US"/>
        </w:rPr>
        <w:t>Non-</w:t>
      </w:r>
      <w:r w:rsidR="00EE74F9" w:rsidRPr="002513B4">
        <w:rPr>
          <w:lang w:val="en-US"/>
        </w:rPr>
        <w:t>Medicaid Patients</w:t>
      </w:r>
    </w:p>
    <w:p w14:paraId="64EA57A3" w14:textId="77777777" w:rsidR="00EE74F9" w:rsidRPr="002513B4" w:rsidRDefault="00EE74F9" w:rsidP="00EE74F9">
      <w:pPr>
        <w:pStyle w:val="BodyText"/>
        <w:rPr>
          <w:lang w:val="en-US"/>
        </w:rPr>
      </w:pPr>
      <w:r w:rsidRPr="002513B4">
        <w:rPr>
          <w:lang w:val="en-US"/>
        </w:rPr>
        <w:t>Only patients whose care is paid for by either Medicare or Medicaid are eligible to be included in the HHCAHPS</w:t>
      </w:r>
      <w:r w:rsidRPr="002513B4" w:rsidDel="00CB56F9">
        <w:rPr>
          <w:lang w:val="en-US"/>
        </w:rPr>
        <w:t xml:space="preserve"> </w:t>
      </w:r>
      <w:r w:rsidRPr="002513B4">
        <w:rPr>
          <w:lang w:val="en-US"/>
        </w:rPr>
        <w:t>Survey. However, HHAs may want to survey their non-Medicare and</w:t>
      </w:r>
      <w:r w:rsidR="0005547B" w:rsidRPr="002513B4">
        <w:rPr>
          <w:lang w:val="en-US"/>
        </w:rPr>
        <w:t>/or</w:t>
      </w:r>
      <w:r w:rsidRPr="002513B4">
        <w:rPr>
          <w:lang w:val="en-US"/>
        </w:rPr>
        <w:t xml:space="preserve"> non-Medicaid patients. If this is the case, the HHA should include information about non-Medicare and non-Medicaid patients on the patient information files that are submitted to the survey vendor. Survey vendors, however, should not include data collected from non-Medicare and non-Medicaid patients on the</w:t>
      </w:r>
      <w:r w:rsidR="00305894" w:rsidRPr="002513B4">
        <w:rPr>
          <w:lang w:val="en-US"/>
        </w:rPr>
        <w:t xml:space="preserve"> XML</w:t>
      </w:r>
      <w:r w:rsidRPr="002513B4">
        <w:rPr>
          <w:lang w:val="en-US"/>
        </w:rPr>
        <w:t xml:space="preserve"> data files submitted to the Data Center.</w:t>
      </w:r>
    </w:p>
    <w:p w14:paraId="0D30E3EF" w14:textId="0B87FAD2" w:rsidR="00EE74F9" w:rsidRPr="002513B4" w:rsidRDefault="0034388C" w:rsidP="00EE74F9">
      <w:pPr>
        <w:pStyle w:val="Heading4"/>
        <w:rPr>
          <w:lang w:val="en-US"/>
        </w:rPr>
      </w:pPr>
      <w:r w:rsidRPr="002513B4">
        <w:rPr>
          <w:lang w:val="en-US"/>
        </w:rPr>
        <w:t>4.3.9</w:t>
      </w:r>
      <w:r w:rsidR="00B06164" w:rsidRPr="002513B4">
        <w:rPr>
          <w:lang w:val="en-US"/>
        </w:rPr>
        <w:tab/>
      </w:r>
      <w:r w:rsidR="00EE74F9" w:rsidRPr="002513B4">
        <w:rPr>
          <w:lang w:val="en-US"/>
        </w:rPr>
        <w:t>Protocol for No Eligible Patients Served in the Sample Month</w:t>
      </w:r>
    </w:p>
    <w:p w14:paraId="27A4F888" w14:textId="00AA5AC1" w:rsidR="00EE74F9" w:rsidRPr="002513B4" w:rsidRDefault="00EE74F9" w:rsidP="00EE74F9">
      <w:pPr>
        <w:pStyle w:val="BodyText"/>
        <w:rPr>
          <w:lang w:val="en-US"/>
        </w:rPr>
      </w:pPr>
      <w:r w:rsidRPr="002513B4">
        <w:rPr>
          <w:lang w:val="en-US"/>
        </w:rPr>
        <w:t xml:space="preserve">If the HHA did not provide home care to </w:t>
      </w:r>
      <w:r w:rsidRPr="002513B4">
        <w:rPr>
          <w:i/>
          <w:lang w:val="en-US"/>
        </w:rPr>
        <w:t>any</w:t>
      </w:r>
      <w:r w:rsidRPr="002513B4">
        <w:rPr>
          <w:lang w:val="en-US"/>
        </w:rPr>
        <w:t xml:space="preserve"> patients or did not serve any patients who met survey eligibility criteria during the sample month, the HHA must still submit a monthly patient information file or an email notification to its HHCAHPS </w:t>
      </w:r>
      <w:r w:rsidR="00305894" w:rsidRPr="002513B4">
        <w:rPr>
          <w:lang w:val="en-US"/>
        </w:rPr>
        <w:t xml:space="preserve">Survey </w:t>
      </w:r>
      <w:r w:rsidRPr="002513B4">
        <w:rPr>
          <w:lang w:val="en-US"/>
        </w:rPr>
        <w:t xml:space="preserve">vendor indicating that no survey-eligible patients were served during that sample month. Survey vendors must retain the monthly patient information file or email notification provided for a minimum of 18 months, as this information is subject to review during </w:t>
      </w:r>
      <w:r w:rsidR="00305894" w:rsidRPr="002513B4">
        <w:rPr>
          <w:lang w:val="en-US"/>
        </w:rPr>
        <w:t xml:space="preserve">HHCAHPS </w:t>
      </w:r>
      <w:r w:rsidRPr="002513B4">
        <w:rPr>
          <w:lang w:val="en-US"/>
        </w:rPr>
        <w:t xml:space="preserve">site visits. </w:t>
      </w:r>
    </w:p>
    <w:p w14:paraId="7EDF2F6D" w14:textId="52F48514" w:rsidR="00EE74F9" w:rsidRPr="002513B4" w:rsidRDefault="00EE74F9" w:rsidP="00EE74F9">
      <w:pPr>
        <w:pStyle w:val="BodyText"/>
        <w:rPr>
          <w:lang w:val="en-US"/>
        </w:rPr>
      </w:pPr>
      <w:r w:rsidRPr="002513B4">
        <w:rPr>
          <w:lang w:val="en-US"/>
        </w:rPr>
        <w:t xml:space="preserve">If none of the patients on the monthly patient information file are eligible for the HHCAHPS Survey or the HHA sent an email notification that no survey-eligible patients were served during a particular sample month, the vendor must still prepare and submit an XML </w:t>
      </w:r>
      <w:r w:rsidR="00305894" w:rsidRPr="002513B4">
        <w:rPr>
          <w:lang w:val="en-US"/>
        </w:rPr>
        <w:t xml:space="preserve">data </w:t>
      </w:r>
      <w:r w:rsidRPr="002513B4">
        <w:rPr>
          <w:lang w:val="en-US"/>
        </w:rPr>
        <w:t>file for that sample month. The vendor must indicate on the file that there were 0 eligible cases in the number eligible data element (“Eligible Patients”) and enter all other information required in the Header Record Section of the XML</w:t>
      </w:r>
      <w:r w:rsidR="00305894" w:rsidRPr="002513B4">
        <w:rPr>
          <w:lang w:val="en-US"/>
        </w:rPr>
        <w:t xml:space="preserve"> data</w:t>
      </w:r>
      <w:r w:rsidRPr="002513B4">
        <w:rPr>
          <w:lang w:val="en-US"/>
        </w:rPr>
        <w:t xml:space="preserve"> file (refer to </w:t>
      </w:r>
      <w:r w:rsidRPr="002513B4">
        <w:rPr>
          <w:b/>
          <w:i/>
          <w:lang w:val="en-US"/>
        </w:rPr>
        <w:t>Chapter </w:t>
      </w:r>
      <w:r w:rsidR="00707A8D" w:rsidRPr="002513B4">
        <w:rPr>
          <w:b/>
          <w:i/>
          <w:lang w:val="en-US"/>
        </w:rPr>
        <w:t>10</w:t>
      </w:r>
      <w:r w:rsidRPr="002513B4">
        <w:rPr>
          <w:lang w:val="en-US"/>
        </w:rPr>
        <w:t xml:space="preserve"> for more information about </w:t>
      </w:r>
      <w:r w:rsidR="00D818AA" w:rsidRPr="002513B4">
        <w:rPr>
          <w:lang w:val="en-US"/>
        </w:rPr>
        <w:t xml:space="preserve">XML </w:t>
      </w:r>
      <w:r w:rsidRPr="002513B4">
        <w:rPr>
          <w:lang w:val="en-US"/>
        </w:rPr>
        <w:t>data file preparation and submission). If the vendor does not submit a 0 eligible file in this case, CMS and the Coordination Team will view the HHA as having “missed” a sample month</w:t>
      </w:r>
      <w:r w:rsidR="00305894" w:rsidRPr="002513B4">
        <w:rPr>
          <w:lang w:val="en-US"/>
        </w:rPr>
        <w:t xml:space="preserve"> and</w:t>
      </w:r>
      <w:r w:rsidRPr="002513B4">
        <w:rPr>
          <w:lang w:val="en-US"/>
        </w:rPr>
        <w:t xml:space="preserve"> may be considered as being noncompliant with HHCAHPS Survey participation requirements.</w:t>
      </w:r>
    </w:p>
    <w:p w14:paraId="532B6760" w14:textId="5954B4E0" w:rsidR="00EE74F9" w:rsidRPr="002513B4" w:rsidRDefault="0034388C" w:rsidP="00EE74F9">
      <w:pPr>
        <w:pStyle w:val="Heading4"/>
        <w:rPr>
          <w:lang w:val="en-US"/>
        </w:rPr>
      </w:pPr>
      <w:r w:rsidRPr="002513B4">
        <w:rPr>
          <w:lang w:val="en-US"/>
        </w:rPr>
        <w:t>4.3.10</w:t>
      </w:r>
      <w:r w:rsidR="005259B2" w:rsidRPr="002513B4">
        <w:rPr>
          <w:lang w:val="en-US"/>
        </w:rPr>
        <w:tab/>
      </w:r>
      <w:r w:rsidR="00EE74F9" w:rsidRPr="002513B4">
        <w:rPr>
          <w:lang w:val="en-US"/>
        </w:rPr>
        <w:t xml:space="preserve">Protocol for Administering Other Surveys in Conjunction </w:t>
      </w:r>
      <w:r w:rsidR="00974051" w:rsidRPr="002513B4">
        <w:rPr>
          <w:lang w:val="en-US"/>
        </w:rPr>
        <w:t>w</w:t>
      </w:r>
      <w:r w:rsidR="00EE74F9" w:rsidRPr="002513B4">
        <w:rPr>
          <w:lang w:val="en-US"/>
        </w:rPr>
        <w:t>ith the HHCAHPS</w:t>
      </w:r>
      <w:r w:rsidR="00B017A1" w:rsidRPr="002513B4">
        <w:rPr>
          <w:lang w:val="en-US"/>
        </w:rPr>
        <w:t> </w:t>
      </w:r>
      <w:r w:rsidR="00EE74F9" w:rsidRPr="002513B4">
        <w:rPr>
          <w:lang w:val="en-US"/>
        </w:rPr>
        <w:t>Survey</w:t>
      </w:r>
    </w:p>
    <w:p w14:paraId="4329B49A" w14:textId="77777777" w:rsidR="004C0BE2" w:rsidRPr="002513B4" w:rsidRDefault="00EE74F9" w:rsidP="00EE74F9">
      <w:pPr>
        <w:pStyle w:val="BodyText"/>
        <w:rPr>
          <w:lang w:val="en-US"/>
        </w:rPr>
      </w:pPr>
      <w:r w:rsidRPr="002513B4">
        <w:rPr>
          <w:lang w:val="en-US"/>
        </w:rPr>
        <w:t xml:space="preserve">Some HHAs may wish to administer other surveys of their patients. Because of the promise of confidentiality stated in the HHCAHPS Survey cover letters, and the nature of care that this population receives (ongoing from their provider), </w:t>
      </w:r>
      <w:r w:rsidR="00481E4C" w:rsidRPr="002513B4">
        <w:rPr>
          <w:lang w:val="en-US"/>
        </w:rPr>
        <w:t>s</w:t>
      </w:r>
      <w:r w:rsidRPr="002513B4">
        <w:rPr>
          <w:lang w:val="en-US"/>
        </w:rPr>
        <w:t xml:space="preserve">urvey vendors are not permitted to share with their HHA clients the identities of patients who are sampled for HHCAHPS. </w:t>
      </w:r>
    </w:p>
    <w:p w14:paraId="320252E9" w14:textId="77777777" w:rsidR="00EE74F9" w:rsidRPr="002513B4" w:rsidRDefault="00EE74F9" w:rsidP="00EE74F9">
      <w:pPr>
        <w:pStyle w:val="BodyText"/>
        <w:rPr>
          <w:lang w:val="en-US"/>
        </w:rPr>
      </w:pPr>
      <w:r w:rsidRPr="002513B4">
        <w:rPr>
          <w:lang w:val="en-US"/>
        </w:rPr>
        <w:t>The following guidelines should be used if the HHA is planning to administer other surveys in conjunction with the HHCAHPS</w:t>
      </w:r>
      <w:r w:rsidRPr="002513B4" w:rsidDel="00CB56F9">
        <w:rPr>
          <w:lang w:val="en-US"/>
        </w:rPr>
        <w:t xml:space="preserve"> </w:t>
      </w:r>
      <w:r w:rsidRPr="002513B4">
        <w:rPr>
          <w:lang w:val="en-US"/>
        </w:rPr>
        <w:t>Survey and will be using its HHCAHPS Survey vendor to conduct the other survey(s).</w:t>
      </w:r>
    </w:p>
    <w:p w14:paraId="1E337BC1" w14:textId="212C12A5" w:rsidR="00EE74F9" w:rsidRPr="002513B4" w:rsidRDefault="00EE74F9" w:rsidP="00EE74F9">
      <w:pPr>
        <w:pStyle w:val="ListBullet"/>
        <w:rPr>
          <w:rFonts w:eastAsia="Batang"/>
        </w:rPr>
      </w:pPr>
      <w:r w:rsidRPr="002513B4">
        <w:rPr>
          <w:rFonts w:eastAsia="Batang"/>
        </w:rPr>
        <w:t xml:space="preserve">If an HHA will be fielding other survey(s) of its patients, it must provide a file of all eligible patients to its survey vendor. The vendor </w:t>
      </w:r>
      <w:r w:rsidR="00BB54BC" w:rsidRPr="002513B4">
        <w:rPr>
          <w:rFonts w:eastAsia="Batang"/>
        </w:rPr>
        <w:t>should</w:t>
      </w:r>
      <w:r w:rsidRPr="002513B4">
        <w:rPr>
          <w:rFonts w:eastAsia="Batang"/>
        </w:rPr>
        <w:t xml:space="preserve"> select the sample for </w:t>
      </w:r>
      <w:r w:rsidRPr="002513B4">
        <w:rPr>
          <w:rFonts w:eastAsia="Batang"/>
        </w:rPr>
        <w:lastRenderedPageBreak/>
        <w:t>HHCAHPS for the sample month first, prior to selecting a sample for any other survey(s).</w:t>
      </w:r>
    </w:p>
    <w:p w14:paraId="381F5D0D" w14:textId="77777777" w:rsidR="00EE74F9" w:rsidRPr="002513B4" w:rsidRDefault="00EE74F9" w:rsidP="00EE74F9">
      <w:pPr>
        <w:pStyle w:val="ListBullet"/>
        <w:rPr>
          <w:rFonts w:eastAsia="Batang"/>
        </w:rPr>
      </w:pPr>
      <w:r w:rsidRPr="002513B4">
        <w:rPr>
          <w:rFonts w:eastAsia="Batang"/>
        </w:rPr>
        <w:t>Patients who were not randomly selected into the HHCAHPS</w:t>
      </w:r>
      <w:r w:rsidRPr="002513B4" w:rsidDel="00515DC4">
        <w:rPr>
          <w:rFonts w:eastAsia="Batang"/>
        </w:rPr>
        <w:t xml:space="preserve"> </w:t>
      </w:r>
      <w:r w:rsidRPr="002513B4">
        <w:rPr>
          <w:rFonts w:eastAsia="Batang"/>
        </w:rPr>
        <w:t xml:space="preserve">Survey sample for the sample month may be </w:t>
      </w:r>
      <w:r w:rsidR="00481E4C" w:rsidRPr="002513B4">
        <w:rPr>
          <w:rFonts w:eastAsia="Batang"/>
        </w:rPr>
        <w:t>eligible</w:t>
      </w:r>
      <w:r w:rsidRPr="002513B4">
        <w:rPr>
          <w:rFonts w:eastAsia="Batang"/>
        </w:rPr>
        <w:t xml:space="preserve"> for </w:t>
      </w:r>
      <w:r w:rsidR="00481E4C" w:rsidRPr="002513B4">
        <w:rPr>
          <w:rFonts w:eastAsia="Batang"/>
        </w:rPr>
        <w:t>the other</w:t>
      </w:r>
      <w:r w:rsidRPr="002513B4">
        <w:rPr>
          <w:rFonts w:eastAsia="Batang"/>
        </w:rPr>
        <w:t xml:space="preserve"> survey</w:t>
      </w:r>
      <w:r w:rsidR="00481E4C" w:rsidRPr="002513B4">
        <w:rPr>
          <w:rFonts w:eastAsia="Batang"/>
        </w:rPr>
        <w:t>(s)</w:t>
      </w:r>
      <w:r w:rsidRPr="002513B4">
        <w:rPr>
          <w:rFonts w:eastAsia="Batang"/>
        </w:rPr>
        <w:t xml:space="preserve"> that the HHA conducts in that month.</w:t>
      </w:r>
    </w:p>
    <w:p w14:paraId="26418F92" w14:textId="77777777" w:rsidR="00EE74F9" w:rsidRPr="002513B4" w:rsidRDefault="00EE74F9" w:rsidP="00EE74F9">
      <w:pPr>
        <w:pStyle w:val="BodyText"/>
        <w:rPr>
          <w:lang w:val="en-US"/>
        </w:rPr>
      </w:pPr>
      <w:r w:rsidRPr="002513B4">
        <w:rPr>
          <w:lang w:val="en-US"/>
        </w:rPr>
        <w:t>For HHAs that are self-administering other surveys in addition to participating in HHCAHPS, the HHA will need to select a sample of patients for the other surveys with the understanding that some patients may be sampled for both the HHCAHPS and the other surveys.</w:t>
      </w:r>
    </w:p>
    <w:p w14:paraId="3C2D9155" w14:textId="7938DDF2" w:rsidR="00EE74F9" w:rsidRPr="002513B4" w:rsidRDefault="00EE74F9" w:rsidP="00EE74F9">
      <w:pPr>
        <w:pStyle w:val="BodyText"/>
        <w:rPr>
          <w:lang w:val="en-US"/>
        </w:rPr>
      </w:pPr>
      <w:r w:rsidRPr="002513B4">
        <w:rPr>
          <w:lang w:val="en-US"/>
        </w:rPr>
        <w:t xml:space="preserve">It is up to the HHA to evaluate—based on the size, frequency, and purpose of the other survey(s) it conducts—whether to potentially sample its patients more than once or engage the services of their HHCAHPS Survey vendor to ensure that patients sampled for the HHCAHPS </w:t>
      </w:r>
      <w:r w:rsidR="00EC6D2E" w:rsidRPr="002513B4">
        <w:rPr>
          <w:lang w:val="en-US"/>
        </w:rPr>
        <w:t xml:space="preserve">Survey </w:t>
      </w:r>
      <w:r w:rsidRPr="002513B4">
        <w:rPr>
          <w:lang w:val="en-US"/>
        </w:rPr>
        <w:t xml:space="preserve">are not also sampled for their other surveys. HHAs should also note that conducting additional surveys with the same patient population as HHCAHPS may lower HHCAHPS </w:t>
      </w:r>
      <w:r w:rsidR="00481E4C" w:rsidRPr="002513B4">
        <w:rPr>
          <w:lang w:val="en-US"/>
        </w:rPr>
        <w:t>S</w:t>
      </w:r>
      <w:r w:rsidRPr="002513B4">
        <w:rPr>
          <w:lang w:val="en-US"/>
        </w:rPr>
        <w:t>urvey response rates because of respondent survey fatigue.</w:t>
      </w:r>
    </w:p>
    <w:p w14:paraId="3B2D33AF" w14:textId="160597EB" w:rsidR="00EE74F9" w:rsidRPr="002513B4" w:rsidRDefault="0034388C" w:rsidP="00FA38B1">
      <w:pPr>
        <w:pStyle w:val="Heading3"/>
        <w:rPr>
          <w:lang w:val="en-US"/>
        </w:rPr>
      </w:pPr>
      <w:bookmarkStart w:id="114" w:name="_Toc402776468"/>
      <w:bookmarkStart w:id="115" w:name="_Toc407633056"/>
      <w:bookmarkStart w:id="116" w:name="_Toc24713333"/>
      <w:bookmarkStart w:id="117" w:name="_Toc217305570"/>
      <w:r w:rsidRPr="002513B4">
        <w:rPr>
          <w:lang w:val="en-US"/>
        </w:rPr>
        <w:t>4.4</w:t>
      </w:r>
      <w:r w:rsidRPr="002513B4">
        <w:rPr>
          <w:lang w:val="en-US"/>
        </w:rPr>
        <w:tab/>
      </w:r>
      <w:r w:rsidR="00EE74F9" w:rsidRPr="002513B4">
        <w:rPr>
          <w:lang w:val="en-US"/>
        </w:rPr>
        <w:t>Step 2: Examine the Monthly Patient Information File for Completeness</w:t>
      </w:r>
      <w:bookmarkEnd w:id="114"/>
      <w:bookmarkEnd w:id="115"/>
      <w:bookmarkEnd w:id="116"/>
      <w:bookmarkEnd w:id="117"/>
    </w:p>
    <w:p w14:paraId="50249731" w14:textId="77777777" w:rsidR="00EE74F9" w:rsidRPr="002513B4" w:rsidRDefault="00EE74F9" w:rsidP="00EE74F9">
      <w:pPr>
        <w:pStyle w:val="BodyText"/>
        <w:rPr>
          <w:lang w:val="en-US"/>
        </w:rPr>
      </w:pPr>
      <w:r w:rsidRPr="002513B4">
        <w:rPr>
          <w:lang w:val="en-US"/>
        </w:rPr>
        <w:t xml:space="preserve">Survey vendors should examine each monthly patient information file provided by their client HHAs to ensure that information they need for determining survey eligibility for all patients on the file has been provided. If patient information needed for sample selection </w:t>
      </w:r>
      <w:r w:rsidR="00025807" w:rsidRPr="002513B4">
        <w:rPr>
          <w:lang w:val="en-US"/>
        </w:rPr>
        <w:t xml:space="preserve">and/or data collection </w:t>
      </w:r>
      <w:r w:rsidRPr="002513B4">
        <w:rPr>
          <w:lang w:val="en-US"/>
        </w:rPr>
        <w:t>is missing, the vendor should work with the HHA to obtain the missing data.</w:t>
      </w:r>
    </w:p>
    <w:p w14:paraId="26C90BBE" w14:textId="77777777" w:rsidR="00EE74F9" w:rsidRPr="002513B4" w:rsidRDefault="00EE74F9" w:rsidP="00EE74F9">
      <w:pPr>
        <w:pStyle w:val="BodyText"/>
        <w:rPr>
          <w:lang w:val="en-US"/>
        </w:rPr>
      </w:pPr>
      <w:r w:rsidRPr="002513B4">
        <w:rPr>
          <w:lang w:val="en-US"/>
        </w:rPr>
        <w:t xml:space="preserve">Survey vendors should also check each monthly patient information file received to make sure that it does not include “duplicate” information—that is, to make sure that a patient does not appear more than once on the file. Note that vendors are required to retain the original monthly patient information files submitted by their client HHAs for possible audits by the </w:t>
      </w:r>
      <w:r w:rsidR="00F2734F" w:rsidRPr="002513B4">
        <w:rPr>
          <w:lang w:val="en-US"/>
        </w:rPr>
        <w:t>HHCAHPS Survey Coordination Team</w:t>
      </w:r>
      <w:r w:rsidRPr="002513B4">
        <w:rPr>
          <w:lang w:val="en-US"/>
        </w:rPr>
        <w:t xml:space="preserve">; therefore, if the monthly patient information file is used as the basis for constructing the sampling frame, the vendor should make a copy of the monthly patient information file </w:t>
      </w:r>
      <w:r w:rsidR="00025807" w:rsidRPr="002513B4">
        <w:rPr>
          <w:lang w:val="en-US"/>
        </w:rPr>
        <w:t xml:space="preserve">submitted </w:t>
      </w:r>
      <w:r w:rsidRPr="002513B4">
        <w:rPr>
          <w:lang w:val="en-US"/>
        </w:rPr>
        <w:t>and “de-duplicate” the file using the copy of the monthly patient information file.</w:t>
      </w:r>
    </w:p>
    <w:p w14:paraId="09D442CE" w14:textId="77777777" w:rsidR="00EE74F9" w:rsidRPr="002513B4" w:rsidRDefault="00EE74F9" w:rsidP="00EE74F9">
      <w:pPr>
        <w:pStyle w:val="BodyText"/>
        <w:rPr>
          <w:lang w:val="en-US"/>
        </w:rPr>
      </w:pPr>
      <w:r w:rsidRPr="002513B4">
        <w:rPr>
          <w:lang w:val="en-US"/>
        </w:rPr>
        <w:t xml:space="preserve">When checking the monthly patient information files to identify duplicate patients </w:t>
      </w:r>
      <w:r w:rsidR="00025807" w:rsidRPr="002513B4">
        <w:rPr>
          <w:lang w:val="en-US"/>
        </w:rPr>
        <w:t>(i.e.,</w:t>
      </w:r>
      <w:r w:rsidRPr="002513B4">
        <w:rPr>
          <w:lang w:val="en-US"/>
        </w:rPr>
        <w:t xml:space="preserve"> patients who may have been listed on the file more than once</w:t>
      </w:r>
      <w:r w:rsidR="00025807" w:rsidRPr="002513B4">
        <w:rPr>
          <w:lang w:val="en-US"/>
        </w:rPr>
        <w:t>)</w:t>
      </w:r>
      <w:r w:rsidRPr="002513B4">
        <w:rPr>
          <w:lang w:val="en-US"/>
        </w:rPr>
        <w:t xml:space="preserve">, it is important for vendors to note that HHAs do NOT always assign the same MRN to a patient if a patient is discharged from home care and receives home care at some later point in time. For this reason, vendors should use the MRN </w:t>
      </w:r>
      <w:r w:rsidRPr="002513B4">
        <w:rPr>
          <w:i/>
          <w:iCs/>
          <w:lang w:val="en-US"/>
        </w:rPr>
        <w:t>and</w:t>
      </w:r>
      <w:r w:rsidRPr="002513B4">
        <w:rPr>
          <w:lang w:val="en-US"/>
        </w:rPr>
        <w:t xml:space="preserve"> other patient information data elements to identify </w:t>
      </w:r>
      <w:r w:rsidR="00025807" w:rsidRPr="002513B4">
        <w:rPr>
          <w:lang w:val="en-US"/>
        </w:rPr>
        <w:t xml:space="preserve">duplicate </w:t>
      </w:r>
      <w:r w:rsidRPr="002513B4">
        <w:rPr>
          <w:lang w:val="en-US"/>
        </w:rPr>
        <w:t xml:space="preserve">patients </w:t>
      </w:r>
      <w:r w:rsidR="00025807" w:rsidRPr="002513B4">
        <w:rPr>
          <w:lang w:val="en-US"/>
        </w:rPr>
        <w:t>i</w:t>
      </w:r>
      <w:r w:rsidRPr="002513B4">
        <w:rPr>
          <w:lang w:val="en-US"/>
        </w:rPr>
        <w:t xml:space="preserve">n the monthly patient information file. </w:t>
      </w:r>
    </w:p>
    <w:p w14:paraId="2F1396F4" w14:textId="77777777" w:rsidR="00EE74F9" w:rsidRPr="002513B4" w:rsidRDefault="00EE74F9" w:rsidP="00EE74F9">
      <w:pPr>
        <w:pStyle w:val="BodyText"/>
        <w:rPr>
          <w:lang w:val="en-US"/>
        </w:rPr>
      </w:pPr>
      <w:r w:rsidRPr="002513B4">
        <w:rPr>
          <w:lang w:val="en-US"/>
        </w:rPr>
        <w:lastRenderedPageBreak/>
        <w:t>After receiving a list or file with information needed for sampling, the survey vendor will then identify all patients eligible for participation in the HHCAHPS</w:t>
      </w:r>
      <w:r w:rsidRPr="002513B4" w:rsidDel="006C17CD">
        <w:rPr>
          <w:lang w:val="en-US"/>
        </w:rPr>
        <w:t xml:space="preserve"> </w:t>
      </w:r>
      <w:r w:rsidRPr="002513B4">
        <w:rPr>
          <w:lang w:val="en-US"/>
        </w:rPr>
        <w:t xml:space="preserve">Survey from the file of patients served or discharged, creating the </w:t>
      </w:r>
      <w:r w:rsidRPr="002513B4">
        <w:rPr>
          <w:i/>
          <w:iCs/>
          <w:lang w:val="en-US"/>
        </w:rPr>
        <w:t>sample frame</w:t>
      </w:r>
      <w:r w:rsidRPr="002513B4">
        <w:rPr>
          <w:lang w:val="en-US"/>
        </w:rPr>
        <w:t xml:space="preserve">, making certain to have a different staff member conduct a </w:t>
      </w:r>
      <w:r w:rsidR="00025807" w:rsidRPr="002513B4">
        <w:rPr>
          <w:lang w:val="en-US"/>
        </w:rPr>
        <w:t>quality control (</w:t>
      </w:r>
      <w:r w:rsidRPr="002513B4">
        <w:rPr>
          <w:lang w:val="en-US"/>
        </w:rPr>
        <w:t>QC</w:t>
      </w:r>
      <w:r w:rsidR="00025807" w:rsidRPr="002513B4">
        <w:rPr>
          <w:lang w:val="en-US"/>
        </w:rPr>
        <w:t>)</w:t>
      </w:r>
      <w:r w:rsidRPr="002513B4">
        <w:rPr>
          <w:lang w:val="en-US"/>
        </w:rPr>
        <w:t xml:space="preserve"> check for this process.</w:t>
      </w:r>
    </w:p>
    <w:p w14:paraId="1D92D85F" w14:textId="45E292C5" w:rsidR="00EE74F9" w:rsidRPr="002513B4" w:rsidRDefault="0034388C" w:rsidP="00FA38B1">
      <w:pPr>
        <w:pStyle w:val="Heading3"/>
        <w:rPr>
          <w:lang w:val="en-US"/>
        </w:rPr>
      </w:pPr>
      <w:bookmarkStart w:id="118" w:name="_Toc402776469"/>
      <w:bookmarkStart w:id="119" w:name="_Toc407633057"/>
      <w:bookmarkStart w:id="120" w:name="_Toc24713334"/>
      <w:bookmarkStart w:id="121" w:name="_Toc217305571"/>
      <w:r w:rsidRPr="002513B4">
        <w:rPr>
          <w:lang w:val="en-US"/>
        </w:rPr>
        <w:t>4.5</w:t>
      </w:r>
      <w:r w:rsidRPr="002513B4">
        <w:rPr>
          <w:lang w:val="en-US"/>
        </w:rPr>
        <w:tab/>
      </w:r>
      <w:r w:rsidR="00EE74F9" w:rsidRPr="002513B4">
        <w:rPr>
          <w:lang w:val="en-US"/>
        </w:rPr>
        <w:t>Step 3: Identify Eligible Patients and Construct a Sampling Frame</w:t>
      </w:r>
      <w:bookmarkEnd w:id="118"/>
      <w:bookmarkEnd w:id="119"/>
      <w:bookmarkEnd w:id="120"/>
      <w:bookmarkEnd w:id="121"/>
    </w:p>
    <w:p w14:paraId="2583842A" w14:textId="77777777" w:rsidR="00EE74F9" w:rsidRPr="002513B4" w:rsidRDefault="00EE74F9" w:rsidP="00EE74F9">
      <w:pPr>
        <w:pStyle w:val="BodyText"/>
        <w:rPr>
          <w:lang w:val="en-US"/>
        </w:rPr>
      </w:pPr>
      <w:r w:rsidRPr="002513B4">
        <w:rPr>
          <w:lang w:val="en-US"/>
        </w:rPr>
        <w:t>After receiving the file of all patients served or discharged from their HHA, vendors must identify all patients eligible for participation in the HHCAHPS</w:t>
      </w:r>
      <w:r w:rsidRPr="002513B4" w:rsidDel="006C17CD">
        <w:rPr>
          <w:lang w:val="en-US"/>
        </w:rPr>
        <w:t xml:space="preserve"> </w:t>
      </w:r>
      <w:r w:rsidRPr="002513B4">
        <w:rPr>
          <w:lang w:val="en-US"/>
        </w:rPr>
        <w:t>Survey.</w:t>
      </w:r>
    </w:p>
    <w:p w14:paraId="4171F5F5" w14:textId="4AA0DCCF" w:rsidR="00EE74F9" w:rsidRPr="002513B4" w:rsidRDefault="00EE74F9" w:rsidP="00EE74F9">
      <w:pPr>
        <w:pStyle w:val="BodyText"/>
        <w:rPr>
          <w:szCs w:val="24"/>
          <w:lang w:val="en-US"/>
        </w:rPr>
      </w:pPr>
      <w:r w:rsidRPr="002513B4">
        <w:rPr>
          <w:lang w:val="en-US"/>
        </w:rPr>
        <w:t xml:space="preserve">The sample frame that the vendor constructs for each HHA must include all patients the HHA served during the sample month who meet </w:t>
      </w:r>
      <w:proofErr w:type="gramStart"/>
      <w:r w:rsidRPr="002513B4">
        <w:rPr>
          <w:lang w:val="en-US"/>
        </w:rPr>
        <w:t>all of</w:t>
      </w:r>
      <w:proofErr w:type="gramEnd"/>
      <w:r w:rsidRPr="002513B4">
        <w:rPr>
          <w:lang w:val="en-US"/>
        </w:rPr>
        <w:t xml:space="preserve"> the eligibility criteria provided previously in Step 1, and who also have not</w:t>
      </w:r>
      <w:r w:rsidRPr="002513B4">
        <w:rPr>
          <w:szCs w:val="24"/>
          <w:lang w:val="en-US"/>
        </w:rPr>
        <w:t xml:space="preserve"> been included in the sample during the 5 months prior to the sample month.</w:t>
      </w:r>
    </w:p>
    <w:p w14:paraId="4BF58268" w14:textId="77777777" w:rsidR="00EE74F9" w:rsidRPr="002513B4" w:rsidRDefault="00EE74F9" w:rsidP="00EE74F9">
      <w:pPr>
        <w:pStyle w:val="BodyText"/>
        <w:rPr>
          <w:lang w:val="en-US"/>
        </w:rPr>
      </w:pPr>
      <w:r w:rsidRPr="002513B4">
        <w:rPr>
          <w:lang w:val="en-US"/>
        </w:rPr>
        <w:t>To reduce respondent burden, home health patients who meet survey eligibility criteria can only be sampled once in a 6-month period. Therefore, the survey vendor must also exclude from the sample frame patients who were included in the HHCAHPS</w:t>
      </w:r>
      <w:r w:rsidRPr="002513B4" w:rsidDel="006C17CD">
        <w:rPr>
          <w:lang w:val="en-US"/>
        </w:rPr>
        <w:t xml:space="preserve"> </w:t>
      </w:r>
      <w:r w:rsidRPr="002513B4">
        <w:rPr>
          <w:lang w:val="en-US"/>
        </w:rPr>
        <w:t>Survey sample during the 5 months prior to the sample month.</w:t>
      </w:r>
    </w:p>
    <w:p w14:paraId="2498B7C9" w14:textId="34053042" w:rsidR="00EE74F9" w:rsidRPr="002513B4" w:rsidRDefault="00EE74F9" w:rsidP="00EE74F9">
      <w:pPr>
        <w:pStyle w:val="BodyText"/>
        <w:rPr>
          <w:lang w:val="en-US"/>
        </w:rPr>
      </w:pPr>
      <w:r w:rsidRPr="002513B4">
        <w:rPr>
          <w:lang w:val="en-US"/>
        </w:rPr>
        <w:t xml:space="preserve">An example of a vendor sample frame file layout is </w:t>
      </w:r>
      <w:r w:rsidR="000B5C4D" w:rsidRPr="002513B4">
        <w:rPr>
          <w:lang w:val="en-US"/>
        </w:rPr>
        <w:t xml:space="preserve">available on the </w:t>
      </w:r>
      <w:hyperlink r:id="rId67" w:history="1">
        <w:r w:rsidR="00080C45" w:rsidRPr="002513B4">
          <w:rPr>
            <w:rStyle w:val="Hyperlink"/>
            <w:lang w:val="en-US"/>
          </w:rPr>
          <w:t>Survey and Protocols web</w:t>
        </w:r>
        <w:r w:rsidR="00DB4C5C" w:rsidRPr="002513B4">
          <w:rPr>
            <w:rStyle w:val="Hyperlink"/>
            <w:lang w:val="en-US"/>
          </w:rPr>
          <w:t xml:space="preserve"> </w:t>
        </w:r>
        <w:r w:rsidR="00080C45" w:rsidRPr="002513B4">
          <w:rPr>
            <w:rStyle w:val="Hyperlink"/>
            <w:lang w:val="en-US"/>
          </w:rPr>
          <w:t>page</w:t>
        </w:r>
      </w:hyperlink>
      <w:r w:rsidR="00080C45" w:rsidRPr="002513B4">
        <w:rPr>
          <w:lang w:val="en-US"/>
        </w:rPr>
        <w:t> </w:t>
      </w:r>
      <w:r w:rsidR="00080C45" w:rsidRPr="002513B4">
        <w:rPr>
          <w:noProof/>
          <w:lang w:val="en-US"/>
        </w:rPr>
        <w:drawing>
          <wp:inline distT="0" distB="0" distL="0" distR="0" wp14:anchorId="639397D9" wp14:editId="30355CD0">
            <wp:extent cx="95250" cy="95250"/>
            <wp:effectExtent l="0" t="0" r="0" b="0"/>
            <wp:docPr id="1557428559" name="Graphic 1557428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080C45" w:rsidRPr="002513B4">
        <w:rPr>
          <w:lang w:val="en-US"/>
        </w:rPr>
        <w:t xml:space="preserve"> of the </w:t>
      </w:r>
      <w:r w:rsidR="000B5C4D" w:rsidRPr="002513B4">
        <w:rPr>
          <w:lang w:val="en-US"/>
        </w:rPr>
        <w:t xml:space="preserve">HHCAHPS website and linked </w:t>
      </w:r>
      <w:r w:rsidRPr="002513B4">
        <w:rPr>
          <w:lang w:val="en-US"/>
        </w:rPr>
        <w:t xml:space="preserve">in </w:t>
      </w:r>
      <w:r w:rsidRPr="002513B4">
        <w:rPr>
          <w:b/>
          <w:bCs/>
          <w:i/>
          <w:iCs/>
          <w:lang w:val="en-US"/>
        </w:rPr>
        <w:t>Appendix </w:t>
      </w:r>
      <w:r w:rsidR="000B5C4D" w:rsidRPr="002513B4">
        <w:rPr>
          <w:b/>
          <w:bCs/>
          <w:i/>
          <w:iCs/>
          <w:lang w:val="en-US"/>
        </w:rPr>
        <w:t>A</w:t>
      </w:r>
      <w:r w:rsidRPr="002513B4">
        <w:rPr>
          <w:lang w:val="en-US"/>
        </w:rPr>
        <w:t xml:space="preserve">. For purposes of audit and quality assurance, survey vendors must keep the monthly patient information files submitted by all HHAs for 18 months. The survey vendor must also keep the sampling frame created for each sample month for 18 months. Vendors must also record and retain documentation showing the reasons patients were </w:t>
      </w:r>
      <w:r w:rsidRPr="002513B4">
        <w:rPr>
          <w:i/>
          <w:iCs/>
          <w:lang w:val="en-US"/>
        </w:rPr>
        <w:t xml:space="preserve">excluded from the sample frame created for each HHA for each sample </w:t>
      </w:r>
      <w:proofErr w:type="gramStart"/>
      <w:r w:rsidRPr="002513B4">
        <w:rPr>
          <w:i/>
          <w:iCs/>
          <w:lang w:val="en-US"/>
        </w:rPr>
        <w:t>month, and</w:t>
      </w:r>
      <w:proofErr w:type="gramEnd"/>
      <w:r w:rsidRPr="002513B4">
        <w:rPr>
          <w:i/>
          <w:iCs/>
          <w:lang w:val="en-US"/>
        </w:rPr>
        <w:t xml:space="preserve"> provide documentation of all staff </w:t>
      </w:r>
      <w:r w:rsidR="00A32F8C" w:rsidRPr="002513B4">
        <w:rPr>
          <w:i/>
          <w:iCs/>
          <w:lang w:val="en-US"/>
        </w:rPr>
        <w:t>QC</w:t>
      </w:r>
      <w:r w:rsidRPr="002513B4">
        <w:rPr>
          <w:i/>
          <w:iCs/>
          <w:lang w:val="en-US"/>
        </w:rPr>
        <w:t xml:space="preserve"> checks that were completed during the sampling process. </w:t>
      </w:r>
      <w:r w:rsidRPr="002513B4">
        <w:rPr>
          <w:lang w:val="en-US"/>
        </w:rPr>
        <w:t>This documentation will be subject to review by the HHCAHPS</w:t>
      </w:r>
      <w:r w:rsidRPr="002513B4" w:rsidDel="006C17CD">
        <w:rPr>
          <w:lang w:val="en-US"/>
        </w:rPr>
        <w:t xml:space="preserve"> </w:t>
      </w:r>
      <w:r w:rsidRPr="002513B4">
        <w:rPr>
          <w:lang w:val="en-US"/>
        </w:rPr>
        <w:t>Survey Coordination Team during site visits.</w:t>
      </w:r>
    </w:p>
    <w:p w14:paraId="11CF51FE" w14:textId="548011AD" w:rsidR="00EE74F9" w:rsidRPr="002513B4" w:rsidRDefault="0034388C" w:rsidP="00FA38B1">
      <w:pPr>
        <w:pStyle w:val="Heading3"/>
        <w:rPr>
          <w:lang w:val="en-US"/>
        </w:rPr>
      </w:pPr>
      <w:bookmarkStart w:id="122" w:name="_Toc402776470"/>
      <w:bookmarkStart w:id="123" w:name="_Toc407633058"/>
      <w:bookmarkStart w:id="124" w:name="_Toc24713335"/>
      <w:bookmarkStart w:id="125" w:name="_Toc217305572"/>
      <w:r w:rsidRPr="002513B4">
        <w:rPr>
          <w:lang w:val="en-US"/>
        </w:rPr>
        <w:t>4.6</w:t>
      </w:r>
      <w:r w:rsidRPr="002513B4">
        <w:rPr>
          <w:lang w:val="en-US"/>
        </w:rPr>
        <w:tab/>
      </w:r>
      <w:r w:rsidR="00EE74F9" w:rsidRPr="002513B4">
        <w:rPr>
          <w:lang w:val="en-US"/>
        </w:rPr>
        <w:t>Step 4: Determine a Sampling Rate and Select a Sample for Each HHA</w:t>
      </w:r>
      <w:bookmarkEnd w:id="122"/>
      <w:bookmarkEnd w:id="123"/>
      <w:bookmarkEnd w:id="124"/>
      <w:bookmarkEnd w:id="125"/>
    </w:p>
    <w:p w14:paraId="59894B0C" w14:textId="77777777" w:rsidR="00EE74F9" w:rsidRPr="002513B4" w:rsidRDefault="00EE74F9" w:rsidP="00EE74F9">
      <w:pPr>
        <w:pStyle w:val="BodyText"/>
        <w:rPr>
          <w:lang w:val="en-US"/>
        </w:rPr>
      </w:pPr>
      <w:r w:rsidRPr="002513B4">
        <w:rPr>
          <w:lang w:val="en-US"/>
        </w:rPr>
        <w:t>Survey vendors must determine a sampling rate and use that rate to ensure that an even distribution of patients is sampled over a 12-month period. Vendors will need to have a good estimate of the size of the sample frame before they can determine a sampling rate. The typical frame size will depend on the number of patients served by the client HHA, the proportion of short- and long-stay patients, and the rate at which the sample exclusions (listed above) apply to the list of patients the HHA provides to the survey vendor.</w:t>
      </w:r>
    </w:p>
    <w:p w14:paraId="0310FA08" w14:textId="77777777" w:rsidR="00EE74F9" w:rsidRPr="002513B4" w:rsidRDefault="00EE74F9" w:rsidP="00EE74F9">
      <w:pPr>
        <w:pStyle w:val="BodyText"/>
        <w:rPr>
          <w:lang w:val="en-US"/>
        </w:rPr>
      </w:pPr>
      <w:r w:rsidRPr="002513B4">
        <w:rPr>
          <w:lang w:val="en-US"/>
        </w:rPr>
        <w:t xml:space="preserve">For HHAs with patients having a relatively short period of home health care service (such as a month or less), there will be a proportionally large sample frame from month to month as new patients are accepted by the HHA. Vendors should expect that there will be variability </w:t>
      </w:r>
      <w:r w:rsidRPr="002513B4">
        <w:rPr>
          <w:lang w:val="en-US"/>
        </w:rPr>
        <w:lastRenderedPageBreak/>
        <w:t>in the number of patients the HHA serves and the number eligible for the survey because these characteristics vary over time. In some cases</w:t>
      </w:r>
      <w:r w:rsidR="00B236DC" w:rsidRPr="002513B4">
        <w:rPr>
          <w:lang w:val="en-US"/>
        </w:rPr>
        <w:t>,</w:t>
      </w:r>
      <w:r w:rsidRPr="002513B4">
        <w:rPr>
          <w:lang w:val="en-US"/>
        </w:rPr>
        <w:t xml:space="preserve"> there could be seasonality to admissions, depending on the mix of patients served by different HHAs.</w:t>
      </w:r>
    </w:p>
    <w:p w14:paraId="3D54C33F" w14:textId="570462D9" w:rsidR="00EE74F9" w:rsidRPr="002513B4" w:rsidRDefault="0066757A" w:rsidP="00EE74F9">
      <w:pPr>
        <w:pStyle w:val="BodyText"/>
        <w:rPr>
          <w:lang w:val="en-US"/>
        </w:rPr>
      </w:pPr>
      <w:r w:rsidRPr="002513B4">
        <w:rPr>
          <w:lang w:val="en-US"/>
        </w:rPr>
        <w:t>For t</w:t>
      </w:r>
      <w:r w:rsidR="00EE74F9" w:rsidRPr="002513B4">
        <w:rPr>
          <w:lang w:val="en-US"/>
        </w:rPr>
        <w:t>he first month that an HHA participates in the HHCAHPS</w:t>
      </w:r>
      <w:r w:rsidR="00EE74F9" w:rsidRPr="002513B4" w:rsidDel="006C17CD">
        <w:rPr>
          <w:lang w:val="en-US"/>
        </w:rPr>
        <w:t xml:space="preserve"> </w:t>
      </w:r>
      <w:r w:rsidR="00EE74F9" w:rsidRPr="002513B4">
        <w:rPr>
          <w:lang w:val="en-US"/>
        </w:rPr>
        <w:t xml:space="preserve">Survey, the agency will have a larger number of patients eligible for the survey because none of the patients will have been sampled in the preceding sample months. Therefore, no patients will be ineligible to be sampled because they were sampled in a prior month. A sampling rate should, therefore, </w:t>
      </w:r>
      <w:r w:rsidR="00EE74F9" w:rsidRPr="002513B4">
        <w:rPr>
          <w:b/>
          <w:bCs/>
          <w:lang w:val="en-US"/>
        </w:rPr>
        <w:t>not</w:t>
      </w:r>
      <w:r w:rsidR="00EE74F9" w:rsidRPr="002513B4">
        <w:rPr>
          <w:lang w:val="en-US"/>
        </w:rPr>
        <w:t xml:space="preserve"> be based on the frame for the first month that the HHA conducts the HHCAHPS</w:t>
      </w:r>
      <w:r w:rsidR="00EE74F9" w:rsidRPr="002513B4" w:rsidDel="006C17CD">
        <w:rPr>
          <w:lang w:val="en-US"/>
        </w:rPr>
        <w:t xml:space="preserve"> </w:t>
      </w:r>
      <w:r w:rsidR="00EE74F9" w:rsidRPr="002513B4">
        <w:rPr>
          <w:lang w:val="en-US"/>
        </w:rPr>
        <w:t>Survey. Instead, the survey vendor should estimate a sampling rate as described below.</w:t>
      </w:r>
    </w:p>
    <w:p w14:paraId="77D32685" w14:textId="0633302E" w:rsidR="00EE74F9" w:rsidRPr="002513B4" w:rsidRDefault="0034388C" w:rsidP="00EE74F9">
      <w:pPr>
        <w:pStyle w:val="Heading4"/>
        <w:rPr>
          <w:lang w:val="en-US"/>
        </w:rPr>
      </w:pPr>
      <w:r w:rsidRPr="002513B4">
        <w:rPr>
          <w:lang w:val="en-US"/>
        </w:rPr>
        <w:t>4.6.1</w:t>
      </w:r>
      <w:r w:rsidR="00085641" w:rsidRPr="002513B4">
        <w:rPr>
          <w:lang w:val="en-US"/>
        </w:rPr>
        <w:tab/>
      </w:r>
      <w:r w:rsidR="00EE74F9" w:rsidRPr="002513B4">
        <w:rPr>
          <w:lang w:val="en-US"/>
        </w:rPr>
        <w:t>Estimating an Initial Sampling Rate</w:t>
      </w:r>
    </w:p>
    <w:p w14:paraId="7A79BCF7" w14:textId="77777777" w:rsidR="00EE74F9" w:rsidRPr="002513B4" w:rsidRDefault="00EE74F9" w:rsidP="00EE74F9">
      <w:pPr>
        <w:pStyle w:val="BodyText"/>
        <w:rPr>
          <w:lang w:val="en-US"/>
        </w:rPr>
      </w:pPr>
      <w:r w:rsidRPr="002513B4">
        <w:rPr>
          <w:lang w:val="en-US"/>
        </w:rPr>
        <w:t xml:space="preserve">To develop a sampling rate for an HHA, the vendor should work with the HHA </w:t>
      </w:r>
      <w:r w:rsidRPr="002513B4">
        <w:rPr>
          <w:b/>
          <w:bCs/>
          <w:lang w:val="en-US"/>
        </w:rPr>
        <w:t>prior</w:t>
      </w:r>
      <w:r w:rsidRPr="002513B4">
        <w:rPr>
          <w:lang w:val="en-US"/>
        </w:rPr>
        <w:t xml:space="preserve"> to the first sample month that the HHA begins its participation in the HHCAHPS</w:t>
      </w:r>
      <w:r w:rsidRPr="002513B4" w:rsidDel="006C17CD">
        <w:rPr>
          <w:lang w:val="en-US"/>
        </w:rPr>
        <w:t xml:space="preserve"> </w:t>
      </w:r>
      <w:r w:rsidRPr="002513B4">
        <w:rPr>
          <w:lang w:val="en-US"/>
        </w:rPr>
        <w:t xml:space="preserve">Survey to estimate the sample frame size for each of the preceding 3 to 6 months. The more months the survey vendor includes in this sampling rate analysis, the better the estimate of the sample frame size and its variability; any single month can be nonrepresentative of an HHA’s patient size and mix, so considering a range of months will guard against estimating sampling rates that will yield a sampling frame that is either too large or too small. For each of the 3 to 6 months prior to the first sample month the HHA implements the HHCAHPS Survey, the HHA should provide the survey vendor with a file of potentially eligible patients who received home health care, including current and discharged patients. In addition, the HHA should provide </w:t>
      </w:r>
      <w:proofErr w:type="gramStart"/>
      <w:r w:rsidRPr="002513B4">
        <w:rPr>
          <w:lang w:val="en-US"/>
        </w:rPr>
        <w:t>all of</w:t>
      </w:r>
      <w:proofErr w:type="gramEnd"/>
      <w:r w:rsidRPr="002513B4">
        <w:rPr>
          <w:lang w:val="en-US"/>
        </w:rPr>
        <w:t xml:space="preserve"> the required data elements for every patient in the file, just as the HHA will be required to provide after it begins its participation in the HHCAHPS</w:t>
      </w:r>
      <w:r w:rsidRPr="002513B4" w:rsidDel="006C17CD">
        <w:rPr>
          <w:lang w:val="en-US"/>
        </w:rPr>
        <w:t xml:space="preserve"> </w:t>
      </w:r>
      <w:r w:rsidRPr="002513B4">
        <w:rPr>
          <w:lang w:val="en-US"/>
        </w:rPr>
        <w:t>Survey implementation.</w:t>
      </w:r>
    </w:p>
    <w:p w14:paraId="2B534B4A" w14:textId="77777777" w:rsidR="00EE74F9" w:rsidRPr="002513B4" w:rsidRDefault="00EE74F9" w:rsidP="00EE74F9">
      <w:pPr>
        <w:pStyle w:val="BodyText"/>
        <w:rPr>
          <w:lang w:val="en-US"/>
        </w:rPr>
      </w:pPr>
      <w:r w:rsidRPr="002513B4">
        <w:rPr>
          <w:lang w:val="en-US"/>
        </w:rPr>
        <w:t xml:space="preserve">In looking at the sample frame information for the 3 to 6 months that precede the first sample month, the vendor should apply the same sample frame construction criteria for each month that it would apply for the first sample month. Note that in the first month’s sample file, the rule that a patient cannot be sampled more than once in the current or the following quarter will not be a constraint. In the second month of the 3- to 6-month test period, all patients sampled in the first month will be excluded from the frame. Only new admissions and patients </w:t>
      </w:r>
      <w:proofErr w:type="gramStart"/>
      <w:r w:rsidRPr="002513B4">
        <w:rPr>
          <w:lang w:val="en-US"/>
        </w:rPr>
        <w:t>not sampled</w:t>
      </w:r>
      <w:proofErr w:type="gramEnd"/>
      <w:r w:rsidRPr="002513B4">
        <w:rPr>
          <w:lang w:val="en-US"/>
        </w:rPr>
        <w:t xml:space="preserve"> the previous sample month can be included on the sample frame for the second (and subsequent) month(s). Some very long-stay patients may reenter the frame in the sixth month. This number will be significant only if long-stay patients, such as many Medicaid patients, are a significant proportion of the HHA’s patient mix. The proportion of short-stay patients—that is, those who receive care for 30 days or fewer—will be an important driver of the sample frame size.</w:t>
      </w:r>
    </w:p>
    <w:p w14:paraId="357C1D97" w14:textId="52182E79" w:rsidR="00EE74F9" w:rsidRPr="002513B4" w:rsidRDefault="0034388C" w:rsidP="00EE74F9">
      <w:pPr>
        <w:pStyle w:val="Heading4"/>
        <w:rPr>
          <w:lang w:val="en-US"/>
        </w:rPr>
      </w:pPr>
      <w:r w:rsidRPr="002513B4">
        <w:rPr>
          <w:lang w:val="en-US"/>
        </w:rPr>
        <w:lastRenderedPageBreak/>
        <w:t>4.6.2</w:t>
      </w:r>
      <w:r w:rsidR="00085641" w:rsidRPr="002513B4">
        <w:rPr>
          <w:lang w:val="en-US"/>
        </w:rPr>
        <w:tab/>
      </w:r>
      <w:r w:rsidR="00EE74F9" w:rsidRPr="002513B4">
        <w:rPr>
          <w:lang w:val="en-US"/>
        </w:rPr>
        <w:t>Estimating an Appropriate Sampling Rate Each Month</w:t>
      </w:r>
    </w:p>
    <w:p w14:paraId="7587FD2C" w14:textId="77777777" w:rsidR="00EE74F9" w:rsidRPr="002513B4" w:rsidRDefault="00EE74F9" w:rsidP="00EE74F9">
      <w:pPr>
        <w:pStyle w:val="BodyText"/>
        <w:rPr>
          <w:lang w:val="en-US"/>
        </w:rPr>
      </w:pPr>
      <w:r w:rsidRPr="002513B4">
        <w:rPr>
          <w:lang w:val="en-US"/>
        </w:rPr>
        <w:t>The target for the statistical precision of HHCAHPS</w:t>
      </w:r>
      <w:r w:rsidRPr="002513B4" w:rsidDel="00620052">
        <w:rPr>
          <w:lang w:val="en-US"/>
        </w:rPr>
        <w:t xml:space="preserve"> </w:t>
      </w:r>
      <w:r w:rsidRPr="002513B4">
        <w:rPr>
          <w:lang w:val="en-US"/>
        </w:rPr>
        <w:t>Survey results that will be publicly reported is based on a reliability criterion. The reliability criterion target for the HHCAHPS</w:t>
      </w:r>
      <w:r w:rsidRPr="002513B4" w:rsidDel="00620052">
        <w:rPr>
          <w:lang w:val="en-US"/>
        </w:rPr>
        <w:t xml:space="preserve"> </w:t>
      </w:r>
      <w:r w:rsidRPr="002513B4">
        <w:rPr>
          <w:lang w:val="en-US"/>
        </w:rPr>
        <w:t>Survey ratings and most of the composites is 0.8 or higher. For reasons of statistical precision, a target minimum of 300 completed HHCAHPS</w:t>
      </w:r>
      <w:r w:rsidRPr="002513B4" w:rsidDel="00620052">
        <w:rPr>
          <w:lang w:val="en-US"/>
        </w:rPr>
        <w:t xml:space="preserve"> </w:t>
      </w:r>
      <w:r w:rsidRPr="002513B4">
        <w:rPr>
          <w:lang w:val="en-US"/>
        </w:rPr>
        <w:t>Surveys has been set for each HHA over each 12-month reporting period. This is equivalent to an average of 25 completed surveys per HHA per month.</w:t>
      </w:r>
    </w:p>
    <w:p w14:paraId="7D088095" w14:textId="5BC33FEB" w:rsidR="00EE74F9" w:rsidRPr="002513B4" w:rsidRDefault="00EE74F9" w:rsidP="00EE74F9">
      <w:pPr>
        <w:pStyle w:val="BodyText"/>
        <w:rPr>
          <w:lang w:val="en-US"/>
        </w:rPr>
      </w:pPr>
      <w:r w:rsidRPr="002513B4">
        <w:rPr>
          <w:lang w:val="en-US"/>
        </w:rPr>
        <w:t>The number of patients to be selected each month to yield a minimum of 300 completed surveys will ultimately be determined by trial and error by the vendor and will differ by HHA. The value of the sampling rate or fraction applied to a sample frame is not itself a target; it may be varied over time to achieve the target number of usable returned surveys. The sampling rate must be kept approximately the same for each month in each quarter. The sample for an HHA during the first sample month that the HHA participates in the HHCAHPS Survey will likely have an atypically high number of eligible patients; therefore, the vendor should adjust the rate for the first sample month to make the sample for that month about equal to subsequent sample months. The rate may be increased in subsequent months to achieve the target of 300 completed surveys but should not be decreased simply to avoid exceeding 300 completed surveys for a particular year. A sample must be selected for each sample month. The rate may be adjusted if there is a sustained change in the size of the typical sample frame.</w:t>
      </w:r>
    </w:p>
    <w:p w14:paraId="4A39E138" w14:textId="23956402" w:rsidR="00EE74F9" w:rsidRPr="002513B4" w:rsidRDefault="00EE74F9" w:rsidP="00EE74F9">
      <w:pPr>
        <w:pStyle w:val="BodyText"/>
        <w:rPr>
          <w:lang w:val="en-US"/>
        </w:rPr>
      </w:pPr>
      <w:bookmarkStart w:id="126" w:name="_Hlk525111736"/>
      <w:r w:rsidRPr="002513B4">
        <w:rPr>
          <w:lang w:val="en-US"/>
        </w:rPr>
        <w:t xml:space="preserve">The mode of administration of the survey will be an important factor in determining sample size and response rates. </w:t>
      </w:r>
      <w:r w:rsidRPr="002513B4">
        <w:rPr>
          <w:b/>
          <w:bCs/>
          <w:i/>
          <w:iCs/>
          <w:lang w:val="en-US"/>
        </w:rPr>
        <w:t>Table 4.2</w:t>
      </w:r>
      <w:r w:rsidRPr="002513B4">
        <w:rPr>
          <w:lang w:val="en-US"/>
        </w:rPr>
        <w:t xml:space="preserve"> shows response rates by mode from the HHCAHPS</w:t>
      </w:r>
      <w:r w:rsidRPr="002513B4" w:rsidDel="00620052">
        <w:rPr>
          <w:lang w:val="en-US"/>
        </w:rPr>
        <w:t xml:space="preserve"> </w:t>
      </w:r>
      <w:r w:rsidRPr="002513B4">
        <w:rPr>
          <w:lang w:val="en-US"/>
        </w:rPr>
        <w:t xml:space="preserve">Survey for all sample months from Quarter 2 </w:t>
      </w:r>
      <w:r w:rsidR="00320699" w:rsidRPr="002513B4">
        <w:rPr>
          <w:lang w:val="en-US"/>
        </w:rPr>
        <w:t>202</w:t>
      </w:r>
      <w:r w:rsidR="005D25D5" w:rsidRPr="002513B4">
        <w:rPr>
          <w:lang w:val="en-US"/>
        </w:rPr>
        <w:t>4</w:t>
      </w:r>
      <w:r w:rsidR="00320699" w:rsidRPr="002513B4">
        <w:rPr>
          <w:lang w:val="en-US"/>
        </w:rPr>
        <w:t xml:space="preserve"> </w:t>
      </w:r>
      <w:r w:rsidRPr="002513B4">
        <w:rPr>
          <w:lang w:val="en-US"/>
        </w:rPr>
        <w:t xml:space="preserve">through Quarter 1 </w:t>
      </w:r>
      <w:r w:rsidR="00320699" w:rsidRPr="002513B4">
        <w:rPr>
          <w:lang w:val="en-US"/>
        </w:rPr>
        <w:t>202</w:t>
      </w:r>
      <w:r w:rsidR="005D25D5" w:rsidRPr="002513B4">
        <w:rPr>
          <w:lang w:val="en-US"/>
        </w:rPr>
        <w:t>5</w:t>
      </w:r>
      <w:r w:rsidR="004C0BE2" w:rsidRPr="002513B4">
        <w:rPr>
          <w:lang w:val="en-US"/>
        </w:rPr>
        <w:t>, which corresponds to the calendar year 202</w:t>
      </w:r>
      <w:r w:rsidR="005D25D5" w:rsidRPr="002513B4">
        <w:rPr>
          <w:lang w:val="en-US"/>
        </w:rPr>
        <w:t>6</w:t>
      </w:r>
      <w:r w:rsidR="004C0BE2" w:rsidRPr="002513B4">
        <w:rPr>
          <w:lang w:val="en-US"/>
        </w:rPr>
        <w:t xml:space="preserve"> annual payment update participation period</w:t>
      </w:r>
      <w:r w:rsidRPr="002513B4">
        <w:rPr>
          <w:lang w:val="en-US"/>
        </w:rPr>
        <w:t>.</w:t>
      </w:r>
    </w:p>
    <w:p w14:paraId="2981FC62" w14:textId="352A6177" w:rsidR="00EE74F9" w:rsidRPr="002513B4" w:rsidRDefault="00EE74F9" w:rsidP="00EE74F9">
      <w:pPr>
        <w:pStyle w:val="TableCaption"/>
      </w:pPr>
      <w:bookmarkStart w:id="127" w:name="_Toc217024909"/>
      <w:bookmarkStart w:id="128" w:name="_Toc407633136"/>
      <w:bookmarkStart w:id="129" w:name="_Toc24713422"/>
      <w:r w:rsidRPr="002513B4">
        <w:t>Table 4.2</w:t>
      </w:r>
      <w:r w:rsidR="006D4B36" w:rsidRPr="002513B4">
        <w:t xml:space="preserve"> </w:t>
      </w:r>
      <w:r w:rsidRPr="002513B4">
        <w:t xml:space="preserve">Response Rates Obtained by Mode During the HHCAHPS </w:t>
      </w:r>
      <w:r w:rsidR="0068405D" w:rsidRPr="002513B4">
        <w:t>202</w:t>
      </w:r>
      <w:r w:rsidR="005D25D5" w:rsidRPr="002513B4">
        <w:t>6</w:t>
      </w:r>
      <w:r w:rsidR="0068405D" w:rsidRPr="002513B4">
        <w:t xml:space="preserve"> </w:t>
      </w:r>
      <w:r w:rsidRPr="002513B4">
        <w:t>Annual Payment Update Participation Period</w:t>
      </w:r>
      <w:bookmarkEnd w:id="127"/>
      <w:r w:rsidRPr="002513B4">
        <w:t xml:space="preserve"> </w:t>
      </w:r>
      <w:bookmarkEnd w:id="128"/>
      <w:bookmarkEnd w:id="129"/>
    </w:p>
    <w:tbl>
      <w:tblPr>
        <w:tblW w:w="9360" w:type="dxa"/>
        <w:tblLayout w:type="fixed"/>
        <w:tblCellMar>
          <w:left w:w="115" w:type="dxa"/>
          <w:right w:w="115" w:type="dxa"/>
        </w:tblCellMar>
        <w:tblLook w:val="00A0" w:firstRow="1" w:lastRow="0" w:firstColumn="1" w:lastColumn="0" w:noHBand="0" w:noVBand="0"/>
        <w:tblCaption w:val="HHCAHPS Response Rates by Mode During the 2026 APU Period"/>
        <w:tblDescription w:val="Table 4-2 lists the response rates by mode for the HHCAHPS Survey during the 2026 Annual Payment Update Participation Period"/>
      </w:tblPr>
      <w:tblGrid>
        <w:gridCol w:w="2250"/>
        <w:gridCol w:w="2880"/>
        <w:gridCol w:w="4230"/>
      </w:tblGrid>
      <w:tr w:rsidR="00EE74F9" w:rsidRPr="002513B4" w14:paraId="1EF29ED9" w14:textId="77777777" w:rsidTr="006D4B36">
        <w:trPr>
          <w:cantSplit/>
          <w:tblHeader/>
        </w:trPr>
        <w:tc>
          <w:tcPr>
            <w:tcW w:w="2250" w:type="dxa"/>
            <w:tcBorders>
              <w:bottom w:val="single" w:sz="8" w:space="0" w:color="1F497D"/>
            </w:tcBorders>
            <w:shd w:val="clear" w:color="auto" w:fill="1F497D"/>
            <w:vAlign w:val="bottom"/>
          </w:tcPr>
          <w:p w14:paraId="7ABC09AC" w14:textId="77777777" w:rsidR="00EE74F9" w:rsidRPr="002513B4" w:rsidRDefault="00EE74F9" w:rsidP="002762B6">
            <w:pPr>
              <w:pStyle w:val="TableHeaders"/>
              <w:rPr>
                <w:color w:val="FFFFFF" w:themeColor="background1"/>
                <w:sz w:val="18"/>
                <w:szCs w:val="18"/>
              </w:rPr>
            </w:pPr>
            <w:r w:rsidRPr="002513B4">
              <w:rPr>
                <w:color w:val="FFFFFF" w:themeColor="background1"/>
                <w:sz w:val="18"/>
                <w:szCs w:val="18"/>
              </w:rPr>
              <w:t>Mode</w:t>
            </w:r>
          </w:p>
        </w:tc>
        <w:tc>
          <w:tcPr>
            <w:tcW w:w="2880" w:type="dxa"/>
            <w:tcBorders>
              <w:top w:val="single" w:sz="8" w:space="0" w:color="1F497D"/>
              <w:bottom w:val="single" w:sz="8" w:space="0" w:color="1F497D"/>
            </w:tcBorders>
            <w:shd w:val="clear" w:color="auto" w:fill="1F497D"/>
            <w:vAlign w:val="bottom"/>
          </w:tcPr>
          <w:p w14:paraId="1ACC1608" w14:textId="77777777" w:rsidR="00EE74F9" w:rsidRPr="002513B4" w:rsidRDefault="00EE74F9" w:rsidP="002762B6">
            <w:pPr>
              <w:pStyle w:val="TableHeaders"/>
              <w:rPr>
                <w:color w:val="FFFFFF" w:themeColor="background1"/>
                <w:sz w:val="18"/>
                <w:szCs w:val="18"/>
              </w:rPr>
            </w:pPr>
            <w:r w:rsidRPr="002513B4">
              <w:rPr>
                <w:color w:val="FFFFFF" w:themeColor="background1"/>
                <w:sz w:val="18"/>
                <w:szCs w:val="18"/>
              </w:rPr>
              <w:t>Response Rate</w:t>
            </w:r>
          </w:p>
        </w:tc>
        <w:tc>
          <w:tcPr>
            <w:tcW w:w="4230" w:type="dxa"/>
            <w:tcBorders>
              <w:top w:val="single" w:sz="8" w:space="0" w:color="1F497D"/>
              <w:bottom w:val="single" w:sz="8" w:space="0" w:color="1F497D"/>
            </w:tcBorders>
            <w:shd w:val="clear" w:color="auto" w:fill="1F497D"/>
            <w:vAlign w:val="bottom"/>
          </w:tcPr>
          <w:p w14:paraId="2275DED7" w14:textId="77777777" w:rsidR="00EE74F9" w:rsidRPr="002513B4" w:rsidRDefault="00EE74F9" w:rsidP="002762B6">
            <w:pPr>
              <w:pStyle w:val="TableHeaders"/>
              <w:rPr>
                <w:color w:val="FFFFFF" w:themeColor="background1"/>
                <w:sz w:val="18"/>
                <w:szCs w:val="18"/>
              </w:rPr>
            </w:pPr>
            <w:r w:rsidRPr="002513B4">
              <w:rPr>
                <w:color w:val="FFFFFF" w:themeColor="background1"/>
                <w:sz w:val="18"/>
                <w:szCs w:val="18"/>
              </w:rPr>
              <w:t>Sample Size for 25 Responses/Month</w:t>
            </w:r>
          </w:p>
        </w:tc>
      </w:tr>
      <w:tr w:rsidR="00EE74F9" w:rsidRPr="002513B4" w14:paraId="074504BC" w14:textId="77777777" w:rsidTr="006D4B36">
        <w:trPr>
          <w:cantSplit/>
        </w:trPr>
        <w:tc>
          <w:tcPr>
            <w:tcW w:w="2250" w:type="dxa"/>
            <w:tcBorders>
              <w:top w:val="single" w:sz="8" w:space="0" w:color="1F497D"/>
            </w:tcBorders>
          </w:tcPr>
          <w:p w14:paraId="5CC49BE9" w14:textId="77777777" w:rsidR="00EE74F9" w:rsidRPr="002513B4" w:rsidRDefault="00EE74F9" w:rsidP="002762B6">
            <w:pPr>
              <w:pStyle w:val="TableText"/>
              <w:rPr>
                <w:sz w:val="18"/>
                <w:szCs w:val="18"/>
              </w:rPr>
            </w:pPr>
            <w:r w:rsidRPr="002513B4">
              <w:rPr>
                <w:sz w:val="18"/>
                <w:szCs w:val="18"/>
              </w:rPr>
              <w:t>Mail only</w:t>
            </w:r>
          </w:p>
        </w:tc>
        <w:tc>
          <w:tcPr>
            <w:tcW w:w="2880" w:type="dxa"/>
            <w:tcBorders>
              <w:top w:val="single" w:sz="8" w:space="0" w:color="1F497D"/>
            </w:tcBorders>
          </w:tcPr>
          <w:p w14:paraId="7D9E1282" w14:textId="1068F482" w:rsidR="00EE74F9" w:rsidRPr="002513B4" w:rsidRDefault="00A4166A" w:rsidP="002762B6">
            <w:pPr>
              <w:pStyle w:val="TableText"/>
              <w:jc w:val="center"/>
              <w:rPr>
                <w:sz w:val="18"/>
                <w:szCs w:val="18"/>
              </w:rPr>
            </w:pPr>
            <w:r w:rsidRPr="002513B4">
              <w:rPr>
                <w:sz w:val="18"/>
                <w:szCs w:val="18"/>
              </w:rPr>
              <w:t>2</w:t>
            </w:r>
            <w:r w:rsidR="005D25D5" w:rsidRPr="002513B4">
              <w:rPr>
                <w:sz w:val="18"/>
                <w:szCs w:val="18"/>
              </w:rPr>
              <w:t>3.2</w:t>
            </w:r>
            <w:r w:rsidR="00EE74F9" w:rsidRPr="002513B4">
              <w:rPr>
                <w:sz w:val="18"/>
                <w:szCs w:val="18"/>
              </w:rPr>
              <w:t>%</w:t>
            </w:r>
          </w:p>
        </w:tc>
        <w:tc>
          <w:tcPr>
            <w:tcW w:w="4230" w:type="dxa"/>
            <w:tcBorders>
              <w:top w:val="single" w:sz="8" w:space="0" w:color="1F497D"/>
            </w:tcBorders>
          </w:tcPr>
          <w:p w14:paraId="3438EF67" w14:textId="2578E177" w:rsidR="00EE74F9" w:rsidRPr="002513B4" w:rsidRDefault="00A4166A" w:rsidP="002762B6">
            <w:pPr>
              <w:pStyle w:val="TableText"/>
              <w:jc w:val="center"/>
              <w:rPr>
                <w:sz w:val="18"/>
                <w:szCs w:val="18"/>
              </w:rPr>
            </w:pPr>
            <w:r w:rsidRPr="002513B4">
              <w:rPr>
                <w:sz w:val="18"/>
                <w:szCs w:val="18"/>
              </w:rPr>
              <w:t>10</w:t>
            </w:r>
            <w:r w:rsidR="00DC2890" w:rsidRPr="002513B4">
              <w:rPr>
                <w:sz w:val="18"/>
                <w:szCs w:val="18"/>
              </w:rPr>
              <w:t>8</w:t>
            </w:r>
          </w:p>
        </w:tc>
      </w:tr>
      <w:tr w:rsidR="00EE74F9" w:rsidRPr="002513B4" w14:paraId="1619A497" w14:textId="77777777" w:rsidTr="006D4B36">
        <w:trPr>
          <w:cantSplit/>
        </w:trPr>
        <w:tc>
          <w:tcPr>
            <w:tcW w:w="2250" w:type="dxa"/>
          </w:tcPr>
          <w:p w14:paraId="7DD34A41" w14:textId="77777777" w:rsidR="00EE74F9" w:rsidRPr="002513B4" w:rsidRDefault="00EE74F9" w:rsidP="002762B6">
            <w:pPr>
              <w:pStyle w:val="TableText"/>
              <w:rPr>
                <w:sz w:val="18"/>
                <w:szCs w:val="18"/>
              </w:rPr>
            </w:pPr>
            <w:r w:rsidRPr="002513B4">
              <w:rPr>
                <w:sz w:val="18"/>
                <w:szCs w:val="18"/>
              </w:rPr>
              <w:t>Phone only</w:t>
            </w:r>
          </w:p>
        </w:tc>
        <w:tc>
          <w:tcPr>
            <w:tcW w:w="2880" w:type="dxa"/>
          </w:tcPr>
          <w:p w14:paraId="2DD49507" w14:textId="1A3BB110" w:rsidR="00EE74F9" w:rsidRPr="002513B4" w:rsidRDefault="005D25D5" w:rsidP="002762B6">
            <w:pPr>
              <w:pStyle w:val="TableText"/>
              <w:jc w:val="center"/>
              <w:rPr>
                <w:sz w:val="18"/>
                <w:szCs w:val="18"/>
              </w:rPr>
            </w:pPr>
            <w:r w:rsidRPr="002513B4">
              <w:rPr>
                <w:sz w:val="18"/>
                <w:szCs w:val="18"/>
              </w:rPr>
              <w:t>19.3</w:t>
            </w:r>
            <w:r w:rsidR="00EE74F9" w:rsidRPr="002513B4">
              <w:rPr>
                <w:sz w:val="18"/>
                <w:szCs w:val="18"/>
              </w:rPr>
              <w:t>%</w:t>
            </w:r>
          </w:p>
        </w:tc>
        <w:tc>
          <w:tcPr>
            <w:tcW w:w="4230" w:type="dxa"/>
          </w:tcPr>
          <w:p w14:paraId="4F65F94B" w14:textId="7F047B57" w:rsidR="00EE74F9" w:rsidRPr="002513B4" w:rsidRDefault="00BB2074" w:rsidP="002762B6">
            <w:pPr>
              <w:pStyle w:val="TableText"/>
              <w:jc w:val="center"/>
              <w:rPr>
                <w:sz w:val="18"/>
                <w:szCs w:val="18"/>
              </w:rPr>
            </w:pPr>
            <w:r w:rsidRPr="002513B4">
              <w:rPr>
                <w:sz w:val="18"/>
                <w:szCs w:val="18"/>
              </w:rPr>
              <w:t>1</w:t>
            </w:r>
            <w:r w:rsidR="005D25D5" w:rsidRPr="002513B4">
              <w:rPr>
                <w:sz w:val="18"/>
                <w:szCs w:val="18"/>
              </w:rPr>
              <w:t>30</w:t>
            </w:r>
          </w:p>
        </w:tc>
      </w:tr>
      <w:tr w:rsidR="00EE74F9" w:rsidRPr="002513B4" w14:paraId="07BFA053" w14:textId="77777777" w:rsidTr="006D4B36">
        <w:trPr>
          <w:cantSplit/>
        </w:trPr>
        <w:tc>
          <w:tcPr>
            <w:tcW w:w="2250" w:type="dxa"/>
            <w:tcBorders>
              <w:bottom w:val="single" w:sz="8" w:space="0" w:color="1F497D"/>
            </w:tcBorders>
          </w:tcPr>
          <w:p w14:paraId="70CBEF5F" w14:textId="77777777" w:rsidR="00EE74F9" w:rsidRPr="002513B4" w:rsidRDefault="00EE74F9" w:rsidP="002762B6">
            <w:pPr>
              <w:pStyle w:val="TableText"/>
              <w:rPr>
                <w:sz w:val="18"/>
                <w:szCs w:val="18"/>
              </w:rPr>
            </w:pPr>
            <w:r w:rsidRPr="002513B4">
              <w:rPr>
                <w:sz w:val="18"/>
                <w:szCs w:val="18"/>
              </w:rPr>
              <w:t>Mixed</w:t>
            </w:r>
          </w:p>
        </w:tc>
        <w:tc>
          <w:tcPr>
            <w:tcW w:w="2880" w:type="dxa"/>
            <w:tcBorders>
              <w:bottom w:val="single" w:sz="8" w:space="0" w:color="1F497D"/>
            </w:tcBorders>
          </w:tcPr>
          <w:p w14:paraId="5AAB0A65" w14:textId="69FCB236" w:rsidR="00EE74F9" w:rsidRPr="002513B4" w:rsidRDefault="0068405D" w:rsidP="002762B6">
            <w:pPr>
              <w:pStyle w:val="TableText"/>
              <w:jc w:val="center"/>
              <w:rPr>
                <w:sz w:val="18"/>
                <w:szCs w:val="18"/>
              </w:rPr>
            </w:pPr>
            <w:r w:rsidRPr="002513B4">
              <w:rPr>
                <w:sz w:val="18"/>
                <w:szCs w:val="18"/>
              </w:rPr>
              <w:t>29</w:t>
            </w:r>
            <w:r w:rsidR="00EE74F9" w:rsidRPr="002513B4">
              <w:rPr>
                <w:sz w:val="18"/>
                <w:szCs w:val="18"/>
              </w:rPr>
              <w:t>.</w:t>
            </w:r>
            <w:r w:rsidR="005D25D5" w:rsidRPr="002513B4">
              <w:rPr>
                <w:sz w:val="18"/>
                <w:szCs w:val="18"/>
              </w:rPr>
              <w:t>0</w:t>
            </w:r>
            <w:r w:rsidR="00EE74F9" w:rsidRPr="002513B4">
              <w:rPr>
                <w:sz w:val="18"/>
                <w:szCs w:val="18"/>
              </w:rPr>
              <w:t>%</w:t>
            </w:r>
          </w:p>
        </w:tc>
        <w:tc>
          <w:tcPr>
            <w:tcW w:w="4230" w:type="dxa"/>
            <w:tcBorders>
              <w:bottom w:val="single" w:sz="8" w:space="0" w:color="1F497D"/>
            </w:tcBorders>
          </w:tcPr>
          <w:p w14:paraId="6EBA9A55" w14:textId="1E4DBA54" w:rsidR="00EE74F9" w:rsidRPr="002513B4" w:rsidRDefault="00BB2074" w:rsidP="002762B6">
            <w:pPr>
              <w:pStyle w:val="TableText"/>
              <w:jc w:val="center"/>
              <w:rPr>
                <w:sz w:val="18"/>
                <w:szCs w:val="18"/>
              </w:rPr>
            </w:pPr>
            <w:r w:rsidRPr="002513B4">
              <w:rPr>
                <w:sz w:val="18"/>
                <w:szCs w:val="18"/>
              </w:rPr>
              <w:t>8</w:t>
            </w:r>
            <w:r w:rsidR="005D25D5" w:rsidRPr="002513B4">
              <w:rPr>
                <w:sz w:val="18"/>
                <w:szCs w:val="18"/>
              </w:rPr>
              <w:t>6</w:t>
            </w:r>
          </w:p>
        </w:tc>
      </w:tr>
    </w:tbl>
    <w:p w14:paraId="5D7643ED" w14:textId="77777777" w:rsidR="00EE74F9" w:rsidRPr="002513B4" w:rsidRDefault="00EE74F9" w:rsidP="00EE74F9">
      <w:pPr>
        <w:pStyle w:val="Source"/>
        <w:rPr>
          <w:lang w:val="en-US"/>
        </w:rPr>
      </w:pPr>
      <w:r w:rsidRPr="002513B4">
        <w:rPr>
          <w:lang w:val="en-US"/>
        </w:rPr>
        <w:t xml:space="preserve">Note: The sample sizes shown in the table above are for illustrative purposes only. Vendors should work with their HHAs to </w:t>
      </w:r>
      <w:proofErr w:type="gramStart"/>
      <w:r w:rsidRPr="002513B4">
        <w:rPr>
          <w:lang w:val="en-US"/>
        </w:rPr>
        <w:t>take into account</w:t>
      </w:r>
      <w:proofErr w:type="gramEnd"/>
      <w:r w:rsidRPr="002513B4">
        <w:rPr>
          <w:lang w:val="en-US"/>
        </w:rPr>
        <w:t xml:space="preserve"> expected response rates, eligibility, and number of patients served to determine an appropriate sampling rate. </w:t>
      </w:r>
    </w:p>
    <w:bookmarkEnd w:id="126"/>
    <w:p w14:paraId="1D18C8A5" w14:textId="77777777" w:rsidR="00EE74F9" w:rsidRPr="002513B4" w:rsidRDefault="00EE74F9" w:rsidP="00EE74F9">
      <w:pPr>
        <w:pStyle w:val="BodyText"/>
        <w:keepNext/>
        <w:rPr>
          <w:lang w:val="en-US"/>
        </w:rPr>
      </w:pPr>
      <w:r w:rsidRPr="002513B4">
        <w:rPr>
          <w:lang w:val="en-US"/>
        </w:rPr>
        <w:t>The sample size estimates above were derived using the following formula:</w:t>
      </w:r>
    </w:p>
    <w:p w14:paraId="5AD62AD8" w14:textId="0642B638" w:rsidR="00EE74F9" w:rsidRPr="002513B4" w:rsidRDefault="00EE74F9" w:rsidP="002762B6">
      <w:pPr>
        <w:pStyle w:val="Equation"/>
      </w:pPr>
      <w:r w:rsidRPr="002513B4">
        <w:t xml:space="preserve">Sample size = (number of responses needed) </w:t>
      </w:r>
      <w:r w:rsidR="00D27B37" w:rsidRPr="002513B4">
        <w:t xml:space="preserve">∕ </w:t>
      </w:r>
      <w:r w:rsidRPr="002513B4">
        <w:t xml:space="preserve">(response rate) = 25 </w:t>
      </w:r>
      <w:r w:rsidR="00D27B37" w:rsidRPr="002513B4">
        <w:t>∕</w:t>
      </w:r>
      <w:r w:rsidRPr="002513B4">
        <w:t xml:space="preserve"> (response rate)</w:t>
      </w:r>
    </w:p>
    <w:p w14:paraId="6536968E" w14:textId="77777777" w:rsidR="00EE74F9" w:rsidRPr="002513B4" w:rsidRDefault="00EE74F9" w:rsidP="00EE74F9">
      <w:pPr>
        <w:pStyle w:val="BodyText"/>
        <w:rPr>
          <w:lang w:val="en-US"/>
        </w:rPr>
      </w:pPr>
      <w:r w:rsidRPr="002513B4">
        <w:rPr>
          <w:lang w:val="en-US"/>
        </w:rPr>
        <w:lastRenderedPageBreak/>
        <w:t xml:space="preserve">where the value used for the number of responses needed is 25. These sample size estimates have been rounded up to the nearest integer. Each vendor should use its experience on the HHCAHPS and other </w:t>
      </w:r>
      <w:r w:rsidRPr="002513B4">
        <w:rPr>
          <w:rStyle w:val="BodyTextChar"/>
          <w:sz w:val="20"/>
          <w:lang w:val="en-US"/>
        </w:rPr>
        <w:t>s</w:t>
      </w:r>
      <w:r w:rsidRPr="002513B4">
        <w:rPr>
          <w:lang w:val="en-US"/>
        </w:rPr>
        <w:t>urveys with home health patients or similar populations and work with its client HHA to determine the appropriate data collection mode and expected response rate to use as a guide for calculating quarterly sampling rates.</w:t>
      </w:r>
    </w:p>
    <w:p w14:paraId="7A3AA99D" w14:textId="6E2865DE" w:rsidR="00EE74F9" w:rsidRPr="002513B4" w:rsidRDefault="00EE74F9" w:rsidP="00EE74F9">
      <w:pPr>
        <w:pStyle w:val="BodyText"/>
        <w:rPr>
          <w:lang w:val="en-US"/>
        </w:rPr>
      </w:pPr>
      <w:r w:rsidRPr="002513B4">
        <w:rPr>
          <w:lang w:val="en-US"/>
        </w:rPr>
        <w:t xml:space="preserve">Developing and using a sampling rate based on the number of survey-eligible patients an HHA serves over a 3- to 6-month period and with an expected response rate works well for an HHA that serves more than 650 survey-eligible patients over a given 12-month period. Consider, for example, to obtain the sample sizes in </w:t>
      </w:r>
      <w:r w:rsidRPr="002513B4">
        <w:rPr>
          <w:b/>
          <w:bCs/>
          <w:i/>
          <w:iCs/>
          <w:lang w:val="en-US"/>
        </w:rPr>
        <w:t>Table 4.2</w:t>
      </w:r>
      <w:r w:rsidRPr="002513B4">
        <w:rPr>
          <w:lang w:val="en-US"/>
        </w:rPr>
        <w:t xml:space="preserve"> above, during a 12-month period an HHA would need to have provided home care to as many as </w:t>
      </w:r>
      <w:r w:rsidR="00DE130D" w:rsidRPr="002513B4">
        <w:rPr>
          <w:lang w:val="en-US"/>
        </w:rPr>
        <w:t>1,2</w:t>
      </w:r>
      <w:r w:rsidR="004B6543" w:rsidRPr="002513B4">
        <w:rPr>
          <w:lang w:val="en-US"/>
        </w:rPr>
        <w:t>84</w:t>
      </w:r>
      <w:r w:rsidRPr="002513B4">
        <w:rPr>
          <w:lang w:val="en-US"/>
        </w:rPr>
        <w:t xml:space="preserve"> survey-eligible patients for the mail-only mode, </w:t>
      </w:r>
      <w:r w:rsidR="00DE130D" w:rsidRPr="002513B4">
        <w:rPr>
          <w:lang w:val="en-US"/>
        </w:rPr>
        <w:t>1,</w:t>
      </w:r>
      <w:r w:rsidR="004B6543" w:rsidRPr="002513B4">
        <w:rPr>
          <w:lang w:val="en-US"/>
        </w:rPr>
        <w:t>560</w:t>
      </w:r>
      <w:r w:rsidR="00BB2074" w:rsidRPr="002513B4">
        <w:rPr>
          <w:lang w:val="en-US"/>
        </w:rPr>
        <w:t xml:space="preserve"> </w:t>
      </w:r>
      <w:r w:rsidRPr="002513B4">
        <w:rPr>
          <w:lang w:val="en-US"/>
        </w:rPr>
        <w:t xml:space="preserve">patients for the phone-only mode, and </w:t>
      </w:r>
      <w:r w:rsidR="00DE130D" w:rsidRPr="002513B4">
        <w:rPr>
          <w:lang w:val="en-US"/>
        </w:rPr>
        <w:t>1,</w:t>
      </w:r>
      <w:r w:rsidR="00BB2074" w:rsidRPr="002513B4">
        <w:rPr>
          <w:lang w:val="en-US"/>
        </w:rPr>
        <w:t>0</w:t>
      </w:r>
      <w:r w:rsidR="004B6543" w:rsidRPr="002513B4">
        <w:rPr>
          <w:lang w:val="en-US"/>
        </w:rPr>
        <w:t>32</w:t>
      </w:r>
      <w:r w:rsidR="00BB2074" w:rsidRPr="002513B4">
        <w:rPr>
          <w:lang w:val="en-US"/>
        </w:rPr>
        <w:t xml:space="preserve"> </w:t>
      </w:r>
      <w:r w:rsidRPr="002513B4">
        <w:rPr>
          <w:lang w:val="en-US"/>
        </w:rPr>
        <w:t xml:space="preserve">survey-eligible patients for the mixed mode. Some very small HHAs will not have </w:t>
      </w:r>
      <w:proofErr w:type="gramStart"/>
      <w:r w:rsidRPr="002513B4">
        <w:rPr>
          <w:lang w:val="en-US"/>
        </w:rPr>
        <w:t>a sufficient number of</w:t>
      </w:r>
      <w:proofErr w:type="gramEnd"/>
      <w:r w:rsidRPr="002513B4">
        <w:rPr>
          <w:lang w:val="en-US"/>
        </w:rPr>
        <w:t xml:space="preserve"> patients to yield 300 completed surveys over a 12-month period. In this case the “full census” of eligible patients should be surveyed. Surveying a full census means that the sampling rate would be such that over the course of a 12-month period the vendor would have sampled the same </w:t>
      </w:r>
      <w:r w:rsidRPr="002513B4">
        <w:rPr>
          <w:b/>
          <w:lang w:val="en-US"/>
        </w:rPr>
        <w:t>number</w:t>
      </w:r>
      <w:r w:rsidRPr="002513B4">
        <w:rPr>
          <w:lang w:val="en-US"/>
        </w:rPr>
        <w:t xml:space="preserve"> of patients as the HHA would have served during a 12-month period. It does not mean that the vendor selects and samples all patients the HHA served during the sample month who meet survey eligibility criteria.</w:t>
      </w:r>
    </w:p>
    <w:p w14:paraId="3789D8AF" w14:textId="77777777" w:rsidR="00EE74F9" w:rsidRPr="002513B4" w:rsidRDefault="00EE74F9" w:rsidP="00EE74F9">
      <w:pPr>
        <w:pStyle w:val="BodyText"/>
        <w:rPr>
          <w:lang w:val="en-US"/>
        </w:rPr>
      </w:pPr>
      <w:r w:rsidRPr="002513B4">
        <w:rPr>
          <w:lang w:val="en-US"/>
        </w:rPr>
        <w:t>The survey vendor should determine a sampling rate for all agencies, including small agencies, and select the sample so that there is an even distribution of patients over a 12-month period. For some very small HHAs, in some sample months the number of survey-eligible patients served may be less than the number required by the sampling rate. In this case, it is acceptable to survey a census of the total number of survey-eligible patients served during that sample month.</w:t>
      </w:r>
    </w:p>
    <w:p w14:paraId="3E4A73BD" w14:textId="77777777" w:rsidR="00EE74F9" w:rsidRPr="002513B4" w:rsidRDefault="00EE74F9" w:rsidP="00EE74F9">
      <w:pPr>
        <w:pStyle w:val="BodyText"/>
        <w:rPr>
          <w:lang w:val="en-US"/>
        </w:rPr>
      </w:pPr>
      <w:r w:rsidRPr="002513B4">
        <w:rPr>
          <w:lang w:val="en-US"/>
        </w:rPr>
        <w:t>Although the targeted number of completed surveys is 300 over a 12-month period, some HHAs may want to survey more of their patients. There is no upper limit to the number of patients who may be surveyed. However, for large HHAs, the vendor should still use a sampling rate and select a sample (rather than surveying all eligible patients each month) so that the sample is evenly distributed across a 12-month period.</w:t>
      </w:r>
    </w:p>
    <w:p w14:paraId="4946DC0C" w14:textId="2E5EBF44" w:rsidR="00EE74F9" w:rsidRPr="002513B4" w:rsidRDefault="0034388C" w:rsidP="00EE74F9">
      <w:pPr>
        <w:pStyle w:val="Heading4"/>
        <w:rPr>
          <w:lang w:val="en-US"/>
        </w:rPr>
      </w:pPr>
      <w:r w:rsidRPr="002513B4">
        <w:rPr>
          <w:lang w:val="en-US"/>
        </w:rPr>
        <w:t>4.6.3</w:t>
      </w:r>
      <w:r w:rsidR="00085641" w:rsidRPr="002513B4">
        <w:rPr>
          <w:lang w:val="en-US"/>
        </w:rPr>
        <w:tab/>
      </w:r>
      <w:r w:rsidR="00EE74F9" w:rsidRPr="002513B4">
        <w:rPr>
          <w:lang w:val="en-US"/>
        </w:rPr>
        <w:t>Selecting the HHA Sample</w:t>
      </w:r>
    </w:p>
    <w:p w14:paraId="3E748FA7" w14:textId="77777777" w:rsidR="00EE74F9" w:rsidRPr="002513B4" w:rsidRDefault="00EE74F9" w:rsidP="00EE74F9">
      <w:pPr>
        <w:pStyle w:val="BodyText"/>
        <w:rPr>
          <w:lang w:val="en-US"/>
        </w:rPr>
      </w:pPr>
      <w:r w:rsidRPr="002513B4">
        <w:rPr>
          <w:lang w:val="en-US"/>
        </w:rPr>
        <w:t>To select the sample for each HHA, survey vendors should use a random number generator that is generally accepted as having satisfied the criterion of randomness. The random numbers should be generated from the uniform distribution―each number having an equal probability of selection. Unacceptable random number generators are those that use pseudo-random number generators that repeat numbers after some specified period. An acceptable random number generator will repeat only after many billions of numbers are produced.</w:t>
      </w:r>
    </w:p>
    <w:p w14:paraId="18B7C499" w14:textId="77777777" w:rsidR="00EE74F9" w:rsidRPr="002513B4" w:rsidRDefault="00EE74F9" w:rsidP="00EE74F9">
      <w:pPr>
        <w:pStyle w:val="BodyText"/>
        <w:rPr>
          <w:lang w:val="en-US"/>
        </w:rPr>
      </w:pPr>
      <w:r w:rsidRPr="002513B4">
        <w:rPr>
          <w:lang w:val="en-US"/>
        </w:rPr>
        <w:lastRenderedPageBreak/>
        <w:t>An important feature of the random number generator is the “seed” number used to start the cycle. The selection of the seed number should be such that it cannot be manipulated. An appropriate seed often used is the clock time as measured by the computer. This seed varies each fraction of a second</w:t>
      </w:r>
      <w:r w:rsidR="0022346B" w:rsidRPr="002513B4">
        <w:rPr>
          <w:lang w:val="en-US"/>
        </w:rPr>
        <w:t>,</w:t>
      </w:r>
      <w:r w:rsidRPr="002513B4">
        <w:rPr>
          <w:lang w:val="en-US"/>
        </w:rPr>
        <w:t xml:space="preserve"> but the value used is documented by the program and is part of the output that can be retained. The seed number must be known and retained as part of the documentation vendors keep so that the sampling process can be reproduced for </w:t>
      </w:r>
      <w:r w:rsidR="00F2734F" w:rsidRPr="002513B4">
        <w:rPr>
          <w:lang w:val="en-US"/>
        </w:rPr>
        <w:t>HHCAHPS Survey Coordination Team</w:t>
      </w:r>
      <w:r w:rsidRPr="002513B4">
        <w:rPr>
          <w:lang w:val="en-US"/>
        </w:rPr>
        <w:t xml:space="preserve"> site visits.</w:t>
      </w:r>
    </w:p>
    <w:p w14:paraId="5CFDEDA2" w14:textId="77777777" w:rsidR="00EE74F9" w:rsidRPr="002513B4" w:rsidRDefault="00EE74F9" w:rsidP="00EE74F9">
      <w:pPr>
        <w:pStyle w:val="BodyText"/>
        <w:rPr>
          <w:lang w:val="en-US"/>
        </w:rPr>
      </w:pPr>
      <w:r w:rsidRPr="002513B4">
        <w:rPr>
          <w:lang w:val="en-US"/>
        </w:rPr>
        <w:t>Survey vendors should use a reputable statistical program like SAS either to select a sample from a frame using its procedures for survey sample selection or to generate random numbers that can be correctly applied.</w:t>
      </w:r>
    </w:p>
    <w:p w14:paraId="149247B5" w14:textId="0BD9115B" w:rsidR="00EE74F9" w:rsidRPr="002513B4" w:rsidRDefault="00EE74F9" w:rsidP="00EE74F9">
      <w:pPr>
        <w:pStyle w:val="BodyText"/>
        <w:rPr>
          <w:lang w:val="en-US"/>
        </w:rPr>
      </w:pPr>
      <w:r w:rsidRPr="002513B4">
        <w:rPr>
          <w:lang w:val="en-US"/>
        </w:rPr>
        <w:t>Another reputable program, which runs under Windows, is RAT-STATS, developed by the Department of Health and Human Service</w:t>
      </w:r>
      <w:r w:rsidR="00080C45" w:rsidRPr="002513B4">
        <w:rPr>
          <w:lang w:val="en-US"/>
        </w:rPr>
        <w:t>’s</w:t>
      </w:r>
      <w:r w:rsidRPr="002513B4">
        <w:rPr>
          <w:lang w:val="en-US"/>
        </w:rPr>
        <w:t xml:space="preserve"> </w:t>
      </w:r>
      <w:r w:rsidR="00080C45" w:rsidRPr="002513B4">
        <w:rPr>
          <w:lang w:val="en-US"/>
        </w:rPr>
        <w:t xml:space="preserve">Office of </w:t>
      </w:r>
      <w:r w:rsidRPr="002513B4">
        <w:rPr>
          <w:lang w:val="en-US"/>
        </w:rPr>
        <w:t>Inspector General</w:t>
      </w:r>
      <w:r w:rsidR="00080C45" w:rsidRPr="002513B4">
        <w:rPr>
          <w:lang w:val="en-US"/>
        </w:rPr>
        <w:t xml:space="preserve"> (OIG)</w:t>
      </w:r>
      <w:r w:rsidRPr="002513B4">
        <w:rPr>
          <w:lang w:val="en-US"/>
        </w:rPr>
        <w:t xml:space="preserve">. Survey vendors can </w:t>
      </w:r>
      <w:hyperlink r:id="rId68" w:history="1">
        <w:r w:rsidRPr="002513B4">
          <w:rPr>
            <w:rStyle w:val="Hyperlink"/>
            <w:lang w:val="en-US"/>
          </w:rPr>
          <w:t xml:space="preserve">download </w:t>
        </w:r>
        <w:r w:rsidR="00080C45" w:rsidRPr="002513B4">
          <w:rPr>
            <w:rStyle w:val="Hyperlink"/>
            <w:lang w:val="en-US"/>
          </w:rPr>
          <w:t>RAT-STATS</w:t>
        </w:r>
        <w:r w:rsidRPr="002513B4">
          <w:rPr>
            <w:rStyle w:val="Hyperlink"/>
            <w:lang w:val="en-US"/>
          </w:rPr>
          <w:t xml:space="preserve"> and its comprehensive manual</w:t>
        </w:r>
      </w:hyperlink>
      <w:r w:rsidRPr="002513B4">
        <w:rPr>
          <w:lang w:val="en-US"/>
        </w:rPr>
        <w:t xml:space="preserve"> at no cost from </w:t>
      </w:r>
      <w:r w:rsidR="00080C45" w:rsidRPr="002513B4">
        <w:rPr>
          <w:lang w:val="en-US"/>
        </w:rPr>
        <w:t>the OIG website.</w:t>
      </w:r>
      <w:r w:rsidRPr="002513B4">
        <w:rPr>
          <w:lang w:val="en-US"/>
        </w:rPr>
        <w:t xml:space="preserve"> There are many sampling tools in the program. One module can simply produce a sample size, </w:t>
      </w:r>
      <w:r w:rsidRPr="002513B4">
        <w:rPr>
          <w:i/>
          <w:iCs/>
          <w:lang w:val="en-US"/>
        </w:rPr>
        <w:t>n</w:t>
      </w:r>
      <w:r w:rsidRPr="002513B4">
        <w:rPr>
          <w:lang w:val="en-US"/>
        </w:rPr>
        <w:t>, random integers between 1 and the frame size, and uses the computer clock to generate the seed, which is retained and reported.</w:t>
      </w:r>
    </w:p>
    <w:p w14:paraId="4AD594CA" w14:textId="77777777" w:rsidR="00EE74F9" w:rsidRPr="002513B4" w:rsidRDefault="00EE74F9" w:rsidP="00EE74F9">
      <w:pPr>
        <w:pStyle w:val="BodyText"/>
        <w:rPr>
          <w:lang w:val="en-US"/>
        </w:rPr>
      </w:pPr>
      <w:r w:rsidRPr="002513B4">
        <w:rPr>
          <w:lang w:val="en-US"/>
        </w:rPr>
        <w:t>Both SAS and RAT-STATS are examples of readily available, high-quality, rigorously tested tools for selecting samples randomly. Commonly available spreadsheet programs also have random number generators; however, do not use these random number generators when selecting monthly samples for the HHCAHPS Survey because they do not generate a report of the seed used. Note, however, that a spreadsheet is an acceptable way to present and manipulate the sample frame.</w:t>
      </w:r>
    </w:p>
    <w:p w14:paraId="7EB9DF66" w14:textId="77777777" w:rsidR="00EE74F9" w:rsidRPr="002513B4" w:rsidRDefault="00EE74F9" w:rsidP="00EE74F9">
      <w:pPr>
        <w:pStyle w:val="BodyText"/>
        <w:rPr>
          <w:lang w:val="en-US"/>
        </w:rPr>
      </w:pPr>
      <w:r w:rsidRPr="002513B4">
        <w:rPr>
          <w:lang w:val="en-US"/>
        </w:rPr>
        <w:t>It is also critical that vendors document how the random start number was generated and how the sample frame was sorted during the sampling process.</w:t>
      </w:r>
    </w:p>
    <w:p w14:paraId="3BBC39FA" w14:textId="77777777" w:rsidR="00EE74F9" w:rsidRPr="002513B4" w:rsidRDefault="00EE74F9" w:rsidP="00EE74F9">
      <w:pPr>
        <w:pStyle w:val="BodyText"/>
        <w:rPr>
          <w:lang w:val="en-US"/>
        </w:rPr>
      </w:pPr>
      <w:r w:rsidRPr="002513B4">
        <w:rPr>
          <w:lang w:val="en-US"/>
        </w:rPr>
        <w:t>The following are examples of ways to sort the sample frame for the HHCAHPS Survey.</w:t>
      </w:r>
    </w:p>
    <w:p w14:paraId="3F08F147" w14:textId="4CC3C677" w:rsidR="00EE74F9" w:rsidRPr="002513B4" w:rsidRDefault="0034388C" w:rsidP="00EE74F9">
      <w:pPr>
        <w:pStyle w:val="Heading5"/>
      </w:pPr>
      <w:r w:rsidRPr="002513B4">
        <w:t>4.6.3.1</w:t>
      </w:r>
      <w:r w:rsidR="00634CA6">
        <w:tab/>
      </w:r>
      <w:r w:rsidR="00EE74F9" w:rsidRPr="002513B4">
        <w:t>Method 1</w:t>
      </w:r>
    </w:p>
    <w:p w14:paraId="551D193E" w14:textId="77777777" w:rsidR="00EE74F9" w:rsidRPr="002513B4" w:rsidRDefault="00EE74F9" w:rsidP="00EE74F9">
      <w:pPr>
        <w:pStyle w:val="BodyText"/>
        <w:keepNext/>
        <w:rPr>
          <w:lang w:val="en-US"/>
        </w:rPr>
      </w:pPr>
      <w:r w:rsidRPr="002513B4">
        <w:rPr>
          <w:lang w:val="en-US"/>
        </w:rPr>
        <w:t xml:space="preserve">Sort the sample frame of </w:t>
      </w:r>
      <w:r w:rsidRPr="002513B4">
        <w:rPr>
          <w:i/>
          <w:lang w:val="en-US"/>
        </w:rPr>
        <w:t>N</w:t>
      </w:r>
      <w:r w:rsidRPr="002513B4">
        <w:rPr>
          <w:lang w:val="en-US"/>
        </w:rPr>
        <w:t xml:space="preserve"> eligible patients by any documented method.</w:t>
      </w:r>
    </w:p>
    <w:p w14:paraId="585E414E" w14:textId="77777777" w:rsidR="00EE74F9" w:rsidRPr="002513B4" w:rsidRDefault="00EE74F9" w:rsidP="00EE74F9">
      <w:pPr>
        <w:pStyle w:val="ListBullet"/>
      </w:pPr>
      <w:r w:rsidRPr="002513B4">
        <w:t xml:space="preserve">Generate the </w:t>
      </w:r>
      <w:r w:rsidRPr="002513B4">
        <w:rPr>
          <w:i/>
        </w:rPr>
        <w:t>N</w:t>
      </w:r>
      <w:r w:rsidRPr="002513B4">
        <w:t xml:space="preserve"> random numbers.</w:t>
      </w:r>
    </w:p>
    <w:p w14:paraId="32FC28C0" w14:textId="77777777" w:rsidR="00EE74F9" w:rsidRPr="002513B4" w:rsidRDefault="00EE74F9" w:rsidP="00EE74F9">
      <w:pPr>
        <w:pStyle w:val="ListBullet"/>
      </w:pPr>
      <w:r w:rsidRPr="002513B4">
        <w:t>Assign the random numbers in the order generated to each element in the frame.</w:t>
      </w:r>
    </w:p>
    <w:p w14:paraId="0EB4184F" w14:textId="77777777" w:rsidR="00EE74F9" w:rsidRPr="002513B4" w:rsidRDefault="00EE74F9" w:rsidP="00EE74F9">
      <w:pPr>
        <w:pStyle w:val="ListBullet"/>
      </w:pPr>
      <w:r w:rsidRPr="002513B4">
        <w:t>Re-sort the elements as ordered by the random numbers (either ascending or descending, but document which is used).</w:t>
      </w:r>
    </w:p>
    <w:p w14:paraId="2E1537E9" w14:textId="77777777" w:rsidR="00EE74F9" w:rsidRPr="002513B4" w:rsidRDefault="00EE74F9" w:rsidP="00EE74F9">
      <w:pPr>
        <w:pStyle w:val="ListBullet"/>
      </w:pPr>
      <w:r w:rsidRPr="002513B4">
        <w:t xml:space="preserve">Select the first </w:t>
      </w:r>
      <w:r w:rsidRPr="002513B4">
        <w:rPr>
          <w:i/>
        </w:rPr>
        <w:t>n</w:t>
      </w:r>
      <w:r w:rsidRPr="002513B4">
        <w:t>, the sample size required for the mode used.</w:t>
      </w:r>
    </w:p>
    <w:p w14:paraId="7F0EBBBC" w14:textId="77777777" w:rsidR="00EE74F9" w:rsidRPr="002513B4" w:rsidRDefault="00EE74F9" w:rsidP="00EE74F9">
      <w:pPr>
        <w:pStyle w:val="BodyText"/>
        <w:rPr>
          <w:lang w:val="en-US"/>
        </w:rPr>
      </w:pPr>
      <w:r w:rsidRPr="002513B4">
        <w:rPr>
          <w:lang w:val="en-US"/>
        </w:rPr>
        <w:lastRenderedPageBreak/>
        <w:t>In this way, the initial sort of the data does not affect the result, although a standard sort order should always be used so that it does not appear that a frame has been altered. This method requires generating as many random numbers as there are patients on the frame.</w:t>
      </w:r>
    </w:p>
    <w:p w14:paraId="7345102F" w14:textId="5D3E667D" w:rsidR="00EE74F9" w:rsidRPr="002513B4" w:rsidRDefault="0034388C" w:rsidP="00EE74F9">
      <w:pPr>
        <w:pStyle w:val="Heading5"/>
      </w:pPr>
      <w:r w:rsidRPr="002513B4">
        <w:t>4.6.3.2</w:t>
      </w:r>
      <w:r w:rsidR="00061D9C" w:rsidRPr="002513B4">
        <w:tab/>
      </w:r>
      <w:r w:rsidR="00EE74F9" w:rsidRPr="002513B4">
        <w:t>Method 2</w:t>
      </w:r>
    </w:p>
    <w:p w14:paraId="3B8AC2B3" w14:textId="77777777" w:rsidR="00EE74F9" w:rsidRPr="002513B4" w:rsidRDefault="00EE74F9" w:rsidP="00EE74F9">
      <w:pPr>
        <w:pStyle w:val="BodyText"/>
        <w:rPr>
          <w:lang w:val="en-US"/>
        </w:rPr>
      </w:pPr>
      <w:r w:rsidRPr="002513B4">
        <w:rPr>
          <w:lang w:val="en-US"/>
        </w:rPr>
        <w:t xml:space="preserve">If the random number generator </w:t>
      </w:r>
      <w:proofErr w:type="gramStart"/>
      <w:r w:rsidRPr="002513B4">
        <w:rPr>
          <w:lang w:val="en-US"/>
        </w:rPr>
        <w:t>is able to</w:t>
      </w:r>
      <w:proofErr w:type="gramEnd"/>
      <w:r w:rsidRPr="002513B4">
        <w:rPr>
          <w:lang w:val="en-US"/>
        </w:rPr>
        <w:t xml:space="preserve"> produce integers from a range of values, given that </w:t>
      </w:r>
      <w:r w:rsidRPr="002513B4">
        <w:rPr>
          <w:i/>
          <w:iCs/>
          <w:lang w:val="en-US"/>
        </w:rPr>
        <w:t>N</w:t>
      </w:r>
      <w:r w:rsidRPr="002513B4">
        <w:rPr>
          <w:lang w:val="en-US"/>
        </w:rPr>
        <w:t xml:space="preserve"> is the size of the sample frame of eligible patients, we can use the following steps to select our sample.</w:t>
      </w:r>
    </w:p>
    <w:p w14:paraId="555C2EF5" w14:textId="77777777" w:rsidR="00EE74F9" w:rsidRPr="002513B4" w:rsidRDefault="00EE74F9" w:rsidP="00EE74F9">
      <w:pPr>
        <w:pStyle w:val="ListBullet"/>
      </w:pPr>
      <w:r w:rsidRPr="002513B4">
        <w:t xml:space="preserve">Generate </w:t>
      </w:r>
      <w:r w:rsidRPr="002513B4">
        <w:rPr>
          <w:i/>
          <w:iCs/>
        </w:rPr>
        <w:t>n</w:t>
      </w:r>
      <w:r w:rsidRPr="002513B4">
        <w:t xml:space="preserve"> distinct random integers whose values range from 1 to </w:t>
      </w:r>
      <w:r w:rsidRPr="002513B4">
        <w:rPr>
          <w:i/>
          <w:iCs/>
        </w:rPr>
        <w:t>N</w:t>
      </w:r>
      <w:r w:rsidRPr="002513B4">
        <w:t xml:space="preserve">, where </w:t>
      </w:r>
      <w:r w:rsidRPr="002513B4">
        <w:rPr>
          <w:i/>
          <w:iCs/>
        </w:rPr>
        <w:t>n</w:t>
      </w:r>
      <w:r w:rsidRPr="002513B4">
        <w:t xml:space="preserve"> is the sample size required for the mode used.</w:t>
      </w:r>
    </w:p>
    <w:p w14:paraId="4C82565A" w14:textId="77777777" w:rsidR="00EE74F9" w:rsidRPr="002513B4" w:rsidRDefault="00EE74F9" w:rsidP="00EE74F9">
      <w:pPr>
        <w:pStyle w:val="ListBullet"/>
      </w:pPr>
      <w:r w:rsidRPr="002513B4">
        <w:t>Select the element of the frame that corresponds to the random number generated. For example, if the random number 10 is generated then select the 10th element on the frame for the sample.</w:t>
      </w:r>
    </w:p>
    <w:p w14:paraId="3F37A35F" w14:textId="77777777" w:rsidR="00EE74F9" w:rsidRPr="002513B4" w:rsidRDefault="00EE74F9" w:rsidP="00EE74F9">
      <w:pPr>
        <w:pStyle w:val="ListBullet"/>
      </w:pPr>
      <w:r w:rsidRPr="002513B4">
        <w:t xml:space="preserve">Continue selection of elements according to the random numbers generated until all </w:t>
      </w:r>
      <w:r w:rsidRPr="002513B4">
        <w:rPr>
          <w:i/>
          <w:iCs/>
        </w:rPr>
        <w:t>n</w:t>
      </w:r>
      <w:r w:rsidRPr="002513B4">
        <w:t xml:space="preserve"> distinct elements have been selected.</w:t>
      </w:r>
    </w:p>
    <w:p w14:paraId="548343D5" w14:textId="77777777" w:rsidR="00EE74F9" w:rsidRPr="002513B4" w:rsidRDefault="00EE74F9" w:rsidP="00EE74F9">
      <w:pPr>
        <w:pStyle w:val="BodyText"/>
        <w:keepNext/>
        <w:rPr>
          <w:lang w:val="en-US"/>
        </w:rPr>
      </w:pPr>
      <w:r w:rsidRPr="002513B4">
        <w:rPr>
          <w:lang w:val="en-US"/>
        </w:rPr>
        <w:t>The steps for selecting the sample can be summarized as follows:</w:t>
      </w:r>
    </w:p>
    <w:p w14:paraId="4ACE37CB" w14:textId="77777777" w:rsidR="00EE74F9" w:rsidRPr="002513B4" w:rsidRDefault="00EE74F9" w:rsidP="0031540E">
      <w:pPr>
        <w:pStyle w:val="ListNumber"/>
      </w:pPr>
      <w:r w:rsidRPr="002513B4">
        <w:t>Using 300 as the target number of responses and an estimate of a final response rate, calculate the target sample for a year and 1</w:t>
      </w:r>
      <w:r w:rsidRPr="002513B4">
        <w:rPr>
          <w:noProof/>
        </w:rPr>
        <w:drawing>
          <wp:inline distT="0" distB="0" distL="0" distR="0" wp14:anchorId="39DB4D3A" wp14:editId="2D2E864F">
            <wp:extent cx="38100" cy="95250"/>
            <wp:effectExtent l="0" t="0" r="0" b="0"/>
            <wp:docPr id="2801" name="Picture 6"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ided by"/>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2513B4">
        <w:t>12 of that per month. An effective response rate of 30 percent, for example, would yield an annual sample of 1,000 (300</w:t>
      </w:r>
      <w:r w:rsidRPr="002513B4">
        <w:rPr>
          <w:noProof/>
        </w:rPr>
        <w:drawing>
          <wp:inline distT="0" distB="0" distL="0" distR="0" wp14:anchorId="6CE34F2D" wp14:editId="67616050">
            <wp:extent cx="38100" cy="95250"/>
            <wp:effectExtent l="0" t="0" r="0" b="0"/>
            <wp:docPr id="2802" name="Picture 5"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d by"/>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2513B4">
        <w:t>.3), which is a target of 84 per month.</w:t>
      </w:r>
    </w:p>
    <w:p w14:paraId="643F326C" w14:textId="77777777" w:rsidR="00EE74F9" w:rsidRPr="002513B4" w:rsidRDefault="00EE74F9" w:rsidP="00EE74F9">
      <w:pPr>
        <w:pStyle w:val="ListNumber"/>
      </w:pPr>
      <w:r w:rsidRPr="002513B4">
        <w:t xml:space="preserve">Acquire from each HHA a test frame for at least 3 months prior to the start of the actual survey. This should be a census of patients each month and should contain the information about each patient to determine whether </w:t>
      </w:r>
      <w:r w:rsidR="00A521FE" w:rsidRPr="002513B4">
        <w:t>they meet</w:t>
      </w:r>
      <w:r w:rsidRPr="002513B4">
        <w:t xml:space="preserve"> survey eligibility requirements.</w:t>
      </w:r>
    </w:p>
    <w:p w14:paraId="677E449B" w14:textId="77777777" w:rsidR="00EE74F9" w:rsidRPr="002513B4" w:rsidRDefault="00EE74F9" w:rsidP="00EE74F9">
      <w:pPr>
        <w:pStyle w:val="ListNumber"/>
      </w:pPr>
      <w:r w:rsidRPr="002513B4">
        <w:t>Apply exclusions for each month—that is, remove from the sample frame all patients who do not meet the survey eligibility criteria. Because the first month will not have any people excluded for reasons of prior sampling, the frame for that month will be larger than that for the subsequent months.</w:t>
      </w:r>
    </w:p>
    <w:p w14:paraId="721AD34F" w14:textId="77777777" w:rsidR="00EE74F9" w:rsidRPr="002513B4" w:rsidRDefault="00EE74F9" w:rsidP="00EE74F9">
      <w:pPr>
        <w:pStyle w:val="ListNumber"/>
      </w:pPr>
      <w:r w:rsidRPr="002513B4">
        <w:t>Using the second and third months as typical of what the frame size will be, determine whether the sample required in Step 1 above will require sampling the entire frame each month or what the typical sampling rate would be. Remember that the first month may be different from subsequent months.</w:t>
      </w:r>
    </w:p>
    <w:p w14:paraId="0A297836" w14:textId="70DF719E" w:rsidR="00EE74F9" w:rsidRPr="002513B4" w:rsidRDefault="00EE74F9" w:rsidP="00EE74F9">
      <w:pPr>
        <w:pStyle w:val="ListNumber"/>
      </w:pPr>
      <w:r w:rsidRPr="002513B4">
        <w:t xml:space="preserve">Simulate creation of random numbers to reach the target number of completed surveys over the 12-month period, that is, 300 surveys. The proportion sampled from quarter 1 to quarter 2 to quarter 3 may vary to meet the target number. We recommend that the sampling rate not be varied within a quarter to accommodate short-term random variation. The first month will generally be sampled at a lower rate than subsequent months. In practice, adjustments may be needed over time to </w:t>
      </w:r>
      <w:r w:rsidRPr="002513B4">
        <w:lastRenderedPageBreak/>
        <w:t xml:space="preserve">reach the annual goal of the lesser of (a) 300 over each of the rolling four quarters, yielding about 300 completed surveys over 12 months; or (b) a full census of eligible patients. Remember in this case a </w:t>
      </w:r>
      <w:r w:rsidRPr="002513B4">
        <w:rPr>
          <w:b/>
          <w:bCs/>
          <w:color w:val="1F497D"/>
        </w:rPr>
        <w:t>full census</w:t>
      </w:r>
      <w:r w:rsidRPr="002513B4">
        <w:t xml:space="preserve"> does not mean surveying every eligible patient each sample month, but using a sampling rate that, during a 12-month period, would yield the same number of sampled patients as the expected number of survey-eligible patients the HHA would serve over a 12-month period.</w:t>
      </w:r>
    </w:p>
    <w:p w14:paraId="73F5627E" w14:textId="0D9B289D" w:rsidR="00EE74F9" w:rsidRPr="002513B4" w:rsidRDefault="0034388C" w:rsidP="00EE74F9">
      <w:pPr>
        <w:pStyle w:val="Heading4"/>
        <w:rPr>
          <w:lang w:val="en-US"/>
        </w:rPr>
      </w:pPr>
      <w:r w:rsidRPr="002513B4">
        <w:rPr>
          <w:lang w:val="en-US"/>
        </w:rPr>
        <w:t>4.6.4</w:t>
      </w:r>
      <w:r w:rsidR="00061D9C" w:rsidRPr="002513B4">
        <w:rPr>
          <w:lang w:val="en-US"/>
        </w:rPr>
        <w:tab/>
      </w:r>
      <w:r w:rsidR="00EE74F9" w:rsidRPr="002513B4">
        <w:rPr>
          <w:lang w:val="en-US"/>
        </w:rPr>
        <w:t xml:space="preserve">Sampling </w:t>
      </w:r>
      <w:r w:rsidR="00D432AB" w:rsidRPr="002513B4">
        <w:rPr>
          <w:lang w:val="en-US"/>
        </w:rPr>
        <w:t>with</w:t>
      </w:r>
      <w:r w:rsidR="00EE74F9" w:rsidRPr="002513B4">
        <w:rPr>
          <w:lang w:val="en-US"/>
        </w:rPr>
        <w:t xml:space="preserve"> Other Than Simple Random Sampling</w:t>
      </w:r>
    </w:p>
    <w:p w14:paraId="27D0626D" w14:textId="77777777" w:rsidR="00EE74F9" w:rsidRPr="002513B4" w:rsidRDefault="00EE74F9" w:rsidP="00EE74F9">
      <w:pPr>
        <w:pStyle w:val="BodyText"/>
        <w:rPr>
          <w:b/>
          <w:bCs/>
          <w:lang w:val="en-US"/>
        </w:rPr>
      </w:pPr>
      <w:r w:rsidRPr="002513B4">
        <w:rPr>
          <w:lang w:val="en-US"/>
        </w:rPr>
        <w:t xml:space="preserve">The method of sampling described above is simple random sampling (SRS), which is a standard method of sampling. Two other sampling methods may be used to sample patients for the HHCAHPS Survey—proportionate stratified random sampling (PSRS) and disproportionate stratified random sampling (DSRS). HHAs may opt to use PSRS and DSRS sampling methods if there is a way to divide their patient population into logical units (referred to as strata), the units are large enough, and there is a logical reason for doing so. The strata created may represent patients cared for by different branches of an HHA or geographic divisions, for example. </w:t>
      </w:r>
      <w:r w:rsidRPr="002513B4">
        <w:rPr>
          <w:b/>
          <w:bCs/>
          <w:lang w:val="en-US"/>
        </w:rPr>
        <w:t>For each month that stratification is used, the minimum number of eligible patients allowable in a stratum frame is 10, and the same stratification must be used for all months in a quarter.</w:t>
      </w:r>
    </w:p>
    <w:p w14:paraId="005CC3BF" w14:textId="69AA9F7F" w:rsidR="00EE74F9" w:rsidRPr="002513B4" w:rsidRDefault="0034388C" w:rsidP="00EE74F9">
      <w:pPr>
        <w:pStyle w:val="Heading5"/>
      </w:pPr>
      <w:r w:rsidRPr="002513B4">
        <w:t>4.6.4.1</w:t>
      </w:r>
      <w:r w:rsidR="00061D9C" w:rsidRPr="002513B4">
        <w:tab/>
      </w:r>
      <w:r w:rsidR="00EE74F9" w:rsidRPr="002513B4">
        <w:t>Proportionate Stratified Random Sampling</w:t>
      </w:r>
    </w:p>
    <w:p w14:paraId="01CE2931" w14:textId="77777777" w:rsidR="00EE74F9" w:rsidRPr="002513B4" w:rsidRDefault="00EE74F9" w:rsidP="00EE74F9">
      <w:pPr>
        <w:pStyle w:val="BodyText"/>
        <w:rPr>
          <w:lang w:val="en-US"/>
        </w:rPr>
      </w:pPr>
      <w:r w:rsidRPr="002513B4">
        <w:rPr>
          <w:lang w:val="en-US"/>
        </w:rPr>
        <w:t>In PSRS, the same sampling rate must be applied to each stratum included in the sample. A stratum is defined as a subset of the total sample frame. For the HHCAHPS Survey, an HHA with multiple branches may want to select a sample for each branch. In this example, each branch location would be considered a stratum.</w:t>
      </w:r>
    </w:p>
    <w:p w14:paraId="5D0EF61F" w14:textId="77777777" w:rsidR="00EE74F9" w:rsidRPr="002513B4" w:rsidRDefault="00EE74F9" w:rsidP="00EE74F9">
      <w:pPr>
        <w:pStyle w:val="BodyText"/>
        <w:keepNext/>
        <w:rPr>
          <w:lang w:val="en-US"/>
        </w:rPr>
      </w:pPr>
      <w:r w:rsidRPr="002513B4">
        <w:rPr>
          <w:lang w:val="en-US"/>
        </w:rPr>
        <w:t>HHAs may want to use PSRS for the following reasons:</w:t>
      </w:r>
    </w:p>
    <w:p w14:paraId="2204E9C1" w14:textId="77777777" w:rsidR="00EE74F9" w:rsidRPr="002513B4" w:rsidRDefault="00EE74F9" w:rsidP="00EE74F9">
      <w:pPr>
        <w:pStyle w:val="ListBullet"/>
      </w:pPr>
      <w:r w:rsidRPr="002513B4">
        <w:t>The HHA would like to keep track of samples and results from the HHCAHPS Survey for each stratum; or</w:t>
      </w:r>
    </w:p>
    <w:p w14:paraId="3188573F" w14:textId="77777777" w:rsidR="00EE74F9" w:rsidRPr="002513B4" w:rsidRDefault="00EE74F9" w:rsidP="00EE74F9">
      <w:pPr>
        <w:pStyle w:val="ListBullet"/>
      </w:pPr>
      <w:r w:rsidRPr="002513B4">
        <w:t>The HHA may want to designate other aggregates of operating units for tracking, while using the same sampling rate for each.</w:t>
      </w:r>
    </w:p>
    <w:p w14:paraId="5687E653" w14:textId="77777777" w:rsidR="00EE74F9" w:rsidRPr="002513B4" w:rsidRDefault="00EE74F9" w:rsidP="00EE74F9">
      <w:pPr>
        <w:pStyle w:val="BodyText"/>
        <w:rPr>
          <w:lang w:val="en-US"/>
        </w:rPr>
      </w:pPr>
      <w:r w:rsidRPr="002513B4">
        <w:rPr>
          <w:lang w:val="en-US"/>
        </w:rPr>
        <w:t>When using PSRS for units of an HHA (under the same CCN), the strata created must be large enough to support the same sampling rate in each stratum. All the patients in the HHA may be sampled as one unit, or a separate sample may be made of each branch. Under PSRS the sampling rate would be the same for each branch and the samples combined.</w:t>
      </w:r>
    </w:p>
    <w:p w14:paraId="369BE135" w14:textId="3A54A8B4" w:rsidR="00EE74F9" w:rsidRPr="002513B4" w:rsidRDefault="00EE74F9" w:rsidP="00EE74F9">
      <w:pPr>
        <w:pStyle w:val="BodyText"/>
        <w:rPr>
          <w:lang w:val="en-US"/>
        </w:rPr>
      </w:pPr>
      <w:r w:rsidRPr="002513B4">
        <w:rPr>
          <w:lang w:val="en-US"/>
        </w:rPr>
        <w:t>For example, if an HHA had 200 patients to sample, divided into three strata consisting of 100, 50, and 50 patients, respectively, a sample of 90 would be drawn at about a 45 percent rate (90</w:t>
      </w:r>
      <w:r w:rsidRPr="002513B4">
        <w:rPr>
          <w:noProof/>
          <w:lang w:val="en-US" w:eastAsia="en-US"/>
        </w:rPr>
        <w:drawing>
          <wp:inline distT="0" distB="0" distL="0" distR="0" wp14:anchorId="1DB8DDB7" wp14:editId="581E8A99">
            <wp:extent cx="38100" cy="95250"/>
            <wp:effectExtent l="0" t="0" r="0" b="0"/>
            <wp:docPr id="2803" name="Picture 4" descr="divi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ided by"/>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r w:rsidRPr="002513B4">
        <w:rPr>
          <w:lang w:val="en-US"/>
        </w:rPr>
        <w:t xml:space="preserve">200). A sample of 45 would be drawn from the large stratum because the large stratum used in this example should have half of the sampled patients. The selection </w:t>
      </w:r>
      <w:r w:rsidRPr="002513B4">
        <w:rPr>
          <w:lang w:val="en-US"/>
        </w:rPr>
        <w:lastRenderedPageBreak/>
        <w:t xml:space="preserve">would be .45 × 50 = 23 for the other strata. With a lower limit of 10 for a stratum size, small strata might have to be combined for a PSRS to be used in practice. The statistical precision of survey results at the stratum level may not be very good unless the stratum sample size is about the size of the overall sample requirements. The total sample size must also be </w:t>
      </w:r>
      <w:r w:rsidR="00D432AB" w:rsidRPr="002513B4">
        <w:rPr>
          <w:lang w:val="en-US"/>
        </w:rPr>
        <w:t>considered</w:t>
      </w:r>
      <w:r w:rsidRPr="002513B4">
        <w:rPr>
          <w:lang w:val="en-US"/>
        </w:rPr>
        <w:t xml:space="preserve"> when </w:t>
      </w:r>
      <w:r w:rsidR="00D432AB" w:rsidRPr="002513B4">
        <w:rPr>
          <w:lang w:val="en-US"/>
        </w:rPr>
        <w:t xml:space="preserve">determining </w:t>
      </w:r>
      <w:r w:rsidRPr="002513B4">
        <w:rPr>
          <w:lang w:val="en-US"/>
        </w:rPr>
        <w:t>stratification options.</w:t>
      </w:r>
    </w:p>
    <w:p w14:paraId="151B8D0B" w14:textId="0D8EFC25" w:rsidR="00EE74F9" w:rsidRPr="002513B4" w:rsidRDefault="0034388C" w:rsidP="00EE74F9">
      <w:pPr>
        <w:pStyle w:val="Heading5"/>
      </w:pPr>
      <w:r w:rsidRPr="002513B4">
        <w:t>4.6.4.2</w:t>
      </w:r>
      <w:r w:rsidR="00634CA6">
        <w:tab/>
      </w:r>
      <w:r w:rsidR="00EE74F9" w:rsidRPr="002513B4">
        <w:t>Disproportionate Stratified Random Sampling</w:t>
      </w:r>
    </w:p>
    <w:p w14:paraId="5CFE89DB" w14:textId="77777777" w:rsidR="00EE74F9" w:rsidRPr="002513B4" w:rsidRDefault="00EE74F9" w:rsidP="00EE74F9">
      <w:pPr>
        <w:pStyle w:val="BodyText"/>
        <w:rPr>
          <w:lang w:val="en-US"/>
        </w:rPr>
      </w:pPr>
      <w:r w:rsidRPr="002513B4">
        <w:rPr>
          <w:lang w:val="en-US"/>
        </w:rPr>
        <w:t xml:space="preserve">DSRS is another appropriate sampling option if an HHA wishes to achieve statistically precise numbers for operating subunits (e.g., branches). To achieve as good a level of precision for the separate units as required for the </w:t>
      </w:r>
      <w:proofErr w:type="gramStart"/>
      <w:r w:rsidRPr="002513B4">
        <w:rPr>
          <w:lang w:val="en-US"/>
        </w:rPr>
        <w:t>HHA as a whole, each</w:t>
      </w:r>
      <w:proofErr w:type="gramEnd"/>
      <w:r w:rsidRPr="002513B4">
        <w:rPr>
          <w:lang w:val="en-US"/>
        </w:rPr>
        <w:t xml:space="preserve"> unit would have to have a sample size as large as if it were a separate HHA. In this case, the sampling rate may be different for each stratum. To allow the separate strata to be recombined to represent the HHA </w:t>
      </w:r>
      <w:proofErr w:type="gramStart"/>
      <w:r w:rsidRPr="002513B4">
        <w:rPr>
          <w:lang w:val="en-US"/>
        </w:rPr>
        <w:t>as a whole the</w:t>
      </w:r>
      <w:proofErr w:type="gramEnd"/>
      <w:r w:rsidRPr="002513B4">
        <w:rPr>
          <w:lang w:val="en-US"/>
        </w:rPr>
        <w:t xml:space="preserve"> sampling rate for each stratum must be reported in the data submitted to the HHCAHPS Survey Coordination Team. This will permit appropriate weighting of the respondents in computing results. Different sampling rates in strata with particularly high or low ratings could otherwise distort the ratings.</w:t>
      </w:r>
    </w:p>
    <w:p w14:paraId="2BFB6C81" w14:textId="77777777" w:rsidR="00EE74F9" w:rsidRPr="002513B4" w:rsidRDefault="00EE74F9" w:rsidP="00EE74F9">
      <w:pPr>
        <w:pStyle w:val="BodyText"/>
        <w:keepNext/>
        <w:rPr>
          <w:lang w:val="en-US"/>
        </w:rPr>
      </w:pPr>
      <w:r w:rsidRPr="002513B4">
        <w:rPr>
          <w:lang w:val="en-US"/>
        </w:rPr>
        <w:t>If an HHA chooses to use DSRS, its survey vendor must do the following:</w:t>
      </w:r>
    </w:p>
    <w:p w14:paraId="677E5173" w14:textId="77777777" w:rsidR="00EE74F9" w:rsidRPr="002513B4" w:rsidRDefault="00EE74F9" w:rsidP="00EE74F9">
      <w:pPr>
        <w:pStyle w:val="ListBullet"/>
      </w:pPr>
      <w:r w:rsidRPr="002513B4">
        <w:t>Complete and submit an Exceptions Request Form―the process for identifying the different strata must be provided on the Exceptions Request Form;</w:t>
      </w:r>
    </w:p>
    <w:p w14:paraId="740798A4" w14:textId="77777777" w:rsidR="00EE74F9" w:rsidRPr="002513B4" w:rsidRDefault="00EE74F9" w:rsidP="00EE74F9">
      <w:pPr>
        <w:pStyle w:val="ListBullet"/>
      </w:pPr>
      <w:r w:rsidRPr="002513B4">
        <w:t>Use the same name for each stratum in each month in the quarter;</w:t>
      </w:r>
    </w:p>
    <w:p w14:paraId="6277D30C" w14:textId="77777777" w:rsidR="00EE74F9" w:rsidRPr="002513B4" w:rsidRDefault="00EE74F9" w:rsidP="00EE74F9">
      <w:pPr>
        <w:pStyle w:val="ListBullet"/>
      </w:pPr>
      <w:r w:rsidRPr="002513B4">
        <w:t>Make sure that each stratum has a minimum of 10 patients eligible to be included in the survey during the sample month; and</w:t>
      </w:r>
    </w:p>
    <w:p w14:paraId="29E85CC9" w14:textId="77777777" w:rsidR="00EE74F9" w:rsidRPr="002513B4" w:rsidRDefault="00EE74F9" w:rsidP="008755BA">
      <w:pPr>
        <w:pStyle w:val="ListBullet"/>
        <w:spacing w:after="120"/>
      </w:pPr>
      <w:r w:rsidRPr="002513B4">
        <w:t>Provide to the HHCAHPS Survey Data Center additional information about each stratum, including the following:</w:t>
      </w:r>
    </w:p>
    <w:p w14:paraId="523C544C" w14:textId="77777777" w:rsidR="00EE74F9" w:rsidRPr="002513B4" w:rsidRDefault="00EE74F9" w:rsidP="00A62DD9">
      <w:pPr>
        <w:pStyle w:val="ListBullet2"/>
      </w:pPr>
      <w:r w:rsidRPr="002513B4">
        <w:t>The name of the stratum;</w:t>
      </w:r>
      <w:r w:rsidR="004D5FB0" w:rsidRPr="002513B4">
        <w:t xml:space="preserve"> </w:t>
      </w:r>
    </w:p>
    <w:p w14:paraId="6F7ADA2C" w14:textId="77777777" w:rsidR="00EE74F9" w:rsidRPr="002513B4" w:rsidRDefault="00EE74F9" w:rsidP="00A62DD9">
      <w:pPr>
        <w:pStyle w:val="ListBullet2"/>
      </w:pPr>
      <w:r w:rsidRPr="002513B4">
        <w:t>The total number of patients sampled in each stratum during the sample month;</w:t>
      </w:r>
    </w:p>
    <w:p w14:paraId="5710BFC5" w14:textId="77777777" w:rsidR="00EE74F9" w:rsidRPr="002513B4" w:rsidRDefault="00EE74F9" w:rsidP="00A62DD9">
      <w:pPr>
        <w:pStyle w:val="ListBullet2"/>
      </w:pPr>
      <w:r w:rsidRPr="002513B4">
        <w:t>The total number of patients on the file submitted by the HHA for that stratum;</w:t>
      </w:r>
    </w:p>
    <w:p w14:paraId="3899D716" w14:textId="77777777" w:rsidR="00EE74F9" w:rsidRPr="002513B4" w:rsidRDefault="00EE74F9" w:rsidP="00A62DD9">
      <w:pPr>
        <w:pStyle w:val="ListBullet2"/>
      </w:pPr>
      <w:r w:rsidRPr="002513B4">
        <w:t>The number of patients in the stratum who were eligible for the survey during the sample month; and</w:t>
      </w:r>
    </w:p>
    <w:p w14:paraId="00DD3DC3" w14:textId="77777777" w:rsidR="00EE74F9" w:rsidRPr="002513B4" w:rsidRDefault="00EE74F9" w:rsidP="0012223B">
      <w:pPr>
        <w:pStyle w:val="ListBullet2"/>
        <w:spacing w:after="120"/>
      </w:pPr>
      <w:r w:rsidRPr="002513B4">
        <w:t>The total number of patients sampled during each sample month.</w:t>
      </w:r>
    </w:p>
    <w:p w14:paraId="4297225A" w14:textId="77777777" w:rsidR="00EE74F9" w:rsidRPr="002513B4" w:rsidRDefault="00EE74F9" w:rsidP="00EE74F9">
      <w:pPr>
        <w:pStyle w:val="BodyText"/>
        <w:keepNext/>
        <w:rPr>
          <w:lang w:val="en-US"/>
        </w:rPr>
      </w:pPr>
      <w:r w:rsidRPr="002513B4">
        <w:rPr>
          <w:lang w:val="en-US"/>
        </w:rPr>
        <w:t>An example of the use of DSRS is as follows. The ABC Best Care Agency selects a sample each month, creating three distinct strata—one each for Branch A, Branch B, and Branch C.</w:t>
      </w:r>
    </w:p>
    <w:p w14:paraId="3B0DBF99" w14:textId="77777777" w:rsidR="00EE74F9" w:rsidRPr="002513B4" w:rsidRDefault="00EE74F9" w:rsidP="00EE74F9">
      <w:pPr>
        <w:pStyle w:val="ListBullet"/>
      </w:pPr>
      <w:r w:rsidRPr="002513B4">
        <w:t>The survey vendor first uses data from 3 or more preceding months prior to the HHA beginning its participation in the HHCAHPS Survey to determine a sampling rate for each of the three strata.</w:t>
      </w:r>
    </w:p>
    <w:p w14:paraId="197C1AEA" w14:textId="77777777" w:rsidR="00EE74F9" w:rsidRPr="002513B4" w:rsidRDefault="00EE74F9" w:rsidP="00EE74F9">
      <w:pPr>
        <w:pStyle w:val="ListBullet"/>
      </w:pPr>
      <w:r w:rsidRPr="002513B4">
        <w:t xml:space="preserve">Assume that the target for each stratum is the same as for the </w:t>
      </w:r>
      <w:proofErr w:type="gramStart"/>
      <w:r w:rsidRPr="002513B4">
        <w:t>HHA as a whole, that</w:t>
      </w:r>
      <w:proofErr w:type="gramEnd"/>
      <w:r w:rsidRPr="002513B4">
        <w:t xml:space="preserve"> 25 is the target number of responses, and that the expected response rate is 50 </w:t>
      </w:r>
      <w:r w:rsidRPr="002513B4">
        <w:lastRenderedPageBreak/>
        <w:t xml:space="preserve">percent. The sample size required is 50 for the </w:t>
      </w:r>
      <w:proofErr w:type="gramStart"/>
      <w:r w:rsidRPr="002513B4">
        <w:t>HHA as a whole</w:t>
      </w:r>
      <w:proofErr w:type="gramEnd"/>
      <w:r w:rsidRPr="002513B4">
        <w:t>. Therefore, to get the same precision for each stratum the sample size would be 50 for each of the three strata in this example.</w:t>
      </w:r>
    </w:p>
    <w:p w14:paraId="49213DAD" w14:textId="77777777" w:rsidR="00EE74F9" w:rsidRPr="002513B4" w:rsidRDefault="00EE74F9" w:rsidP="00EE74F9">
      <w:pPr>
        <w:pStyle w:val="ListBullet"/>
      </w:pPr>
      <w:r w:rsidRPr="002513B4">
        <w:t>Assume that Branch A has 120 eligible patients, Branch B has 100, and Branch C has 40 (these are the numbers that would be reported on the XML template for DSRS sampling).</w:t>
      </w:r>
    </w:p>
    <w:p w14:paraId="1B47F84E" w14:textId="77777777" w:rsidR="00EE74F9" w:rsidRPr="002513B4" w:rsidRDefault="00EE74F9" w:rsidP="00EE74F9">
      <w:pPr>
        <w:pStyle w:val="ListBullet"/>
      </w:pPr>
      <w:r w:rsidRPr="002513B4">
        <w:t>Based on these numbers, the number sampled is 50 for Branch A, 50 for Branch B, and 40 for Branch C. Because Branch C only had 40 patients, the sample for it would be a census.</w:t>
      </w:r>
    </w:p>
    <w:p w14:paraId="330D95BD" w14:textId="77777777" w:rsidR="00EE74F9" w:rsidRPr="002513B4" w:rsidRDefault="00EE74F9" w:rsidP="00EA7E61">
      <w:pPr>
        <w:pStyle w:val="ListBullet"/>
        <w:spacing w:after="120"/>
      </w:pPr>
      <w:r w:rsidRPr="002513B4">
        <w:t>When analyzing the data, the HHCAHPS Survey analysts will use the sampling rates in the weighting calculation when the strata are combined at the HHA level as follows:</w:t>
      </w:r>
    </w:p>
    <w:p w14:paraId="2B363F7D" w14:textId="08EDE9A9" w:rsidR="00EE74F9" w:rsidRPr="002513B4" w:rsidRDefault="00EE74F9" w:rsidP="00A62DD9">
      <w:pPr>
        <w:pStyle w:val="ListBullet2"/>
      </w:pPr>
      <w:r w:rsidRPr="002513B4">
        <w:t>Branch A, 50</w:t>
      </w:r>
      <w:r w:rsidR="00E01453" w:rsidRPr="002513B4">
        <w:t>∕</w:t>
      </w:r>
      <w:r w:rsidRPr="002513B4">
        <w:t>120 = 41.6%.</w:t>
      </w:r>
    </w:p>
    <w:p w14:paraId="5B2E715B" w14:textId="1E203FC0" w:rsidR="00EE74F9" w:rsidRPr="002513B4" w:rsidRDefault="00EE74F9" w:rsidP="00A62DD9">
      <w:pPr>
        <w:pStyle w:val="ListBullet2"/>
      </w:pPr>
      <w:r w:rsidRPr="002513B4">
        <w:t>Branch B, 50</w:t>
      </w:r>
      <w:r w:rsidR="00E01453" w:rsidRPr="002513B4">
        <w:t>∕</w:t>
      </w:r>
      <w:r w:rsidRPr="002513B4">
        <w:t>100 = 50.0%.</w:t>
      </w:r>
    </w:p>
    <w:p w14:paraId="1FBF8CD2" w14:textId="7EE402AD" w:rsidR="00EE74F9" w:rsidRPr="002513B4" w:rsidRDefault="00EE74F9" w:rsidP="00A62DD9">
      <w:pPr>
        <w:pStyle w:val="ListBullet2"/>
      </w:pPr>
      <w:r w:rsidRPr="002513B4">
        <w:t>Branch C, 40</w:t>
      </w:r>
      <w:r w:rsidR="002A1DEF" w:rsidRPr="002513B4">
        <w:t>∕</w:t>
      </w:r>
      <w:r w:rsidRPr="002513B4">
        <w:t>40 = 100.0%.</w:t>
      </w:r>
    </w:p>
    <w:p w14:paraId="128A2930" w14:textId="6B53AFB0" w:rsidR="00EE74F9" w:rsidRPr="002513B4" w:rsidRDefault="00EE74F9" w:rsidP="00EE74F9">
      <w:pPr>
        <w:pStyle w:val="BodyText"/>
        <w:rPr>
          <w:lang w:val="en-US"/>
        </w:rPr>
      </w:pPr>
      <w:r w:rsidRPr="002513B4">
        <w:rPr>
          <w:lang w:val="en-US"/>
        </w:rPr>
        <w:t>Note that the survey vendor will report the number of patients eligible for the survey and the number sampled to the HHCAHPS Data Center for use in computing weights for the HHA when the data are combined. Patients in Branch A had a lower probability of selection than those in Branch B and C, and that will be accounted for when the data from sample members in the strata are combined. Survey vendors should keep in mind that a minimum of 10 eligible patients must be in each stratum for DSRS sampling to be used.</w:t>
      </w:r>
    </w:p>
    <w:p w14:paraId="595AC232" w14:textId="2E64AA98" w:rsidR="00EE74F9" w:rsidRPr="002513B4" w:rsidRDefault="0034388C" w:rsidP="00EE74F9">
      <w:pPr>
        <w:pStyle w:val="Heading3"/>
        <w:rPr>
          <w:lang w:val="en-US"/>
        </w:rPr>
      </w:pPr>
      <w:bookmarkStart w:id="130" w:name="_Toc402776471"/>
      <w:bookmarkStart w:id="131" w:name="_Toc407633059"/>
      <w:bookmarkStart w:id="132" w:name="_Toc24713336"/>
      <w:bookmarkStart w:id="133" w:name="_Toc217305573"/>
      <w:r w:rsidRPr="002513B4">
        <w:rPr>
          <w:lang w:val="en-US"/>
        </w:rPr>
        <w:t>4.7</w:t>
      </w:r>
      <w:r w:rsidRPr="002513B4">
        <w:rPr>
          <w:lang w:val="en-US"/>
        </w:rPr>
        <w:tab/>
      </w:r>
      <w:r w:rsidR="00EE74F9" w:rsidRPr="002513B4">
        <w:rPr>
          <w:lang w:val="en-US"/>
        </w:rPr>
        <w:t>Step 5: Verify or Update Sample Contact Information</w:t>
      </w:r>
      <w:bookmarkEnd w:id="130"/>
      <w:bookmarkEnd w:id="131"/>
      <w:bookmarkEnd w:id="132"/>
      <w:bookmarkEnd w:id="133"/>
    </w:p>
    <w:p w14:paraId="09D8D501" w14:textId="77777777" w:rsidR="00EE74F9" w:rsidRPr="002513B4" w:rsidRDefault="00EE74F9" w:rsidP="00EE74F9">
      <w:pPr>
        <w:pStyle w:val="BodyText"/>
        <w:rPr>
          <w:lang w:val="en-US"/>
        </w:rPr>
      </w:pPr>
      <w:r w:rsidRPr="002513B4">
        <w:rPr>
          <w:lang w:val="en-US"/>
        </w:rPr>
        <w:t xml:space="preserve">We strongly recommend that survey vendors send all HHA-provided patient mailing addresses through an outside address service, such as the National Change of Address (NCOA) or a similar </w:t>
      </w:r>
      <w:r w:rsidR="00A838C4" w:rsidRPr="002513B4">
        <w:rPr>
          <w:lang w:val="en-US"/>
        </w:rPr>
        <w:t>service</w:t>
      </w:r>
      <w:r w:rsidRPr="002513B4">
        <w:rPr>
          <w:lang w:val="en-US"/>
        </w:rPr>
        <w:t>, to confirm or update patient contact information. In addition, vendors conducting either a telephone-only or mixed-mode data collection are urged to send the most updated mailing addresses through a telephone number–provider service to attempt to obtain an updated telephone number. Performing these quality control activities prior to the start of data collection will result in fewer surveys returned as undeliverable and fewer unproductive telephone call attempts.</w:t>
      </w:r>
    </w:p>
    <w:p w14:paraId="5E703CDC" w14:textId="77777777" w:rsidR="00EE74F9" w:rsidRPr="002513B4" w:rsidRDefault="00EE74F9" w:rsidP="00EE74F9">
      <w:pPr>
        <w:pStyle w:val="BodyText"/>
        <w:rPr>
          <w:lang w:val="en-US"/>
        </w:rPr>
      </w:pPr>
      <w:r w:rsidRPr="002513B4">
        <w:rPr>
          <w:lang w:val="en-US"/>
        </w:rPr>
        <w:t xml:space="preserve">Note that vendors may not share the identities of sampled patients with their HHA clients, so if a vendor asks for updated information, it must ask for </w:t>
      </w:r>
      <w:proofErr w:type="gramStart"/>
      <w:r w:rsidRPr="002513B4">
        <w:rPr>
          <w:b/>
          <w:bCs/>
          <w:lang w:val="en-US"/>
        </w:rPr>
        <w:t>all</w:t>
      </w:r>
      <w:r w:rsidRPr="002513B4">
        <w:rPr>
          <w:lang w:val="en-US"/>
        </w:rPr>
        <w:t xml:space="preserve"> of</w:t>
      </w:r>
      <w:proofErr w:type="gramEnd"/>
      <w:r w:rsidRPr="002513B4">
        <w:rPr>
          <w:lang w:val="en-US"/>
        </w:rPr>
        <w:t xml:space="preserve"> the patients in the file for the relevant sample month. Asking for missing information on all patients preserves the anonymity of patients who were selected for the sample. Because patients received skilled care in their homes, the HHA should have an address at which that care is provided. Similarly, for surveys being administered by telephone or mixed mode, in most cases an </w:t>
      </w:r>
      <w:r w:rsidRPr="002513B4">
        <w:rPr>
          <w:lang w:val="en-US"/>
        </w:rPr>
        <w:lastRenderedPageBreak/>
        <w:t>HHA will have the patient’s telephone number to schedule or confirm the provider’s home care visits.</w:t>
      </w:r>
    </w:p>
    <w:p w14:paraId="12DBB84A" w14:textId="1686647E" w:rsidR="00EE74F9" w:rsidRPr="002513B4" w:rsidRDefault="00EE74F9" w:rsidP="00EE74F9">
      <w:pPr>
        <w:pStyle w:val="BodyText"/>
        <w:rPr>
          <w:lang w:val="en-US"/>
        </w:rPr>
      </w:pPr>
      <w:r w:rsidRPr="002513B4">
        <w:rPr>
          <w:lang w:val="en-US"/>
        </w:rPr>
        <w:t xml:space="preserve">Vendors should also note that even if an address or telephone number cannot be obtained for a patient, the patient is still eligible for inclusion on the sample frame (and in the survey if sampled) if </w:t>
      </w:r>
      <w:r w:rsidR="00A521FE" w:rsidRPr="002513B4">
        <w:rPr>
          <w:lang w:val="en-US"/>
        </w:rPr>
        <w:t xml:space="preserve">they meet </w:t>
      </w:r>
      <w:r w:rsidRPr="002513B4">
        <w:rPr>
          <w:lang w:val="en-US"/>
        </w:rPr>
        <w:t xml:space="preserve">all other survey eligibility criteria. </w:t>
      </w:r>
      <w:r w:rsidR="00D432AB" w:rsidRPr="002513B4">
        <w:rPr>
          <w:lang w:val="en-US"/>
        </w:rPr>
        <w:t>Patients</w:t>
      </w:r>
      <w:r w:rsidRPr="002513B4">
        <w:rPr>
          <w:lang w:val="en-US"/>
        </w:rPr>
        <w:t xml:space="preserve"> with missing or foreign mailing addresses are also considered eligible for the survey.</w:t>
      </w:r>
    </w:p>
    <w:p w14:paraId="1239A5BC" w14:textId="6C8C8D07" w:rsidR="00EE74F9" w:rsidRPr="002513B4" w:rsidRDefault="0034388C" w:rsidP="00EE74F9">
      <w:pPr>
        <w:pStyle w:val="Heading3"/>
        <w:rPr>
          <w:lang w:val="en-US"/>
        </w:rPr>
      </w:pPr>
      <w:bookmarkStart w:id="134" w:name="_Toc402776472"/>
      <w:bookmarkStart w:id="135" w:name="_Toc407633060"/>
      <w:bookmarkStart w:id="136" w:name="_Toc24713337"/>
      <w:bookmarkStart w:id="137" w:name="_Toc217305574"/>
      <w:r w:rsidRPr="002513B4">
        <w:rPr>
          <w:lang w:val="en-US"/>
        </w:rPr>
        <w:t>4.8</w:t>
      </w:r>
      <w:r w:rsidRPr="002513B4">
        <w:rPr>
          <w:lang w:val="en-US"/>
        </w:rPr>
        <w:tab/>
      </w:r>
      <w:r w:rsidR="00EE74F9" w:rsidRPr="002513B4">
        <w:rPr>
          <w:lang w:val="en-US"/>
        </w:rPr>
        <w:t>Step 6: Assign Unique Sample Identification Numbers</w:t>
      </w:r>
      <w:bookmarkEnd w:id="134"/>
      <w:bookmarkEnd w:id="135"/>
      <w:bookmarkEnd w:id="136"/>
      <w:bookmarkEnd w:id="137"/>
    </w:p>
    <w:p w14:paraId="4897CF46" w14:textId="77777777" w:rsidR="00EE74F9" w:rsidRPr="002513B4" w:rsidRDefault="00EE74F9" w:rsidP="00EE74F9">
      <w:pPr>
        <w:pStyle w:val="BodyText"/>
        <w:rPr>
          <w:lang w:val="en-US"/>
        </w:rPr>
      </w:pPr>
      <w:r w:rsidRPr="002513B4">
        <w:rPr>
          <w:lang w:val="en-US"/>
        </w:rPr>
        <w:t>Survey vendors are responsible for assigning a unique</w:t>
      </w:r>
      <w:r w:rsidR="00554410" w:rsidRPr="002513B4">
        <w:rPr>
          <w:lang w:val="en-US"/>
        </w:rPr>
        <w:t xml:space="preserve"> </w:t>
      </w:r>
      <w:r w:rsidR="00554410" w:rsidRPr="002513B4">
        <w:rPr>
          <w:b/>
          <w:bCs/>
          <w:lang w:val="en-US"/>
        </w:rPr>
        <w:t>numeric or</w:t>
      </w:r>
      <w:r w:rsidRPr="002513B4">
        <w:rPr>
          <w:lang w:val="en-US"/>
        </w:rPr>
        <w:t xml:space="preserve"> </w:t>
      </w:r>
      <w:r w:rsidRPr="002513B4">
        <w:rPr>
          <w:b/>
          <w:bCs/>
          <w:lang w:val="en-US"/>
        </w:rPr>
        <w:t xml:space="preserve">alphanumeric </w:t>
      </w:r>
      <w:r w:rsidRPr="002513B4">
        <w:rPr>
          <w:lang w:val="en-US"/>
        </w:rPr>
        <w:t>sample identification (SID) number to every sample member selected into each monthly sample. Vendors should use the SID to track efforts to complete the survey with each sample member throughout the data collection period. When creating and assigning SID numbers to sampled cases, follow the guidelines listed below.</w:t>
      </w:r>
    </w:p>
    <w:p w14:paraId="02F79031" w14:textId="3B0B65C8" w:rsidR="00EE74F9" w:rsidRPr="002513B4" w:rsidRDefault="00EE74F9" w:rsidP="00EE74F9">
      <w:pPr>
        <w:pStyle w:val="ListBullet"/>
      </w:pPr>
      <w:r w:rsidRPr="002513B4">
        <w:t>The SID number assigned to a sample member cannot contain any combination of letters or numbers that could link the SID with a particular sample member or a particular HHA. For example, no part of the sample member’s name, address, date of birth, telephone number, Social Security number, or dates of home health care visits or an HHA CCN can be included in the unique SID created and assigned to the sample member.</w:t>
      </w:r>
    </w:p>
    <w:p w14:paraId="6E636085" w14:textId="77777777" w:rsidR="00EE74F9" w:rsidRPr="002513B4" w:rsidRDefault="00EE74F9" w:rsidP="00EE74F9">
      <w:pPr>
        <w:pStyle w:val="ListBullet"/>
      </w:pPr>
      <w:r w:rsidRPr="002513B4">
        <w:t>The SID can be a numeric or alphanumeric data element; however, it must have a minimum length of 6 and a maximum length of 16 characters.</w:t>
      </w:r>
    </w:p>
    <w:p w14:paraId="757ABB69" w14:textId="77777777" w:rsidR="00EE74F9" w:rsidRPr="002513B4" w:rsidRDefault="00EE74F9" w:rsidP="00EE74F9">
      <w:pPr>
        <w:pStyle w:val="ListBullet"/>
      </w:pPr>
      <w:r w:rsidRPr="002513B4">
        <w:t>Vendors must not reuse the same SID numbers—that is, once a SID number is assigned, it should never be assigned</w:t>
      </w:r>
      <w:r w:rsidRPr="002513B4">
        <w:rPr>
          <w:color w:val="0000FF"/>
        </w:rPr>
        <w:t xml:space="preserve"> </w:t>
      </w:r>
      <w:r w:rsidRPr="002513B4">
        <w:t>again for any sampled patient. Vendors must assign new SID numbers to the new set of patients sampled each month.</w:t>
      </w:r>
    </w:p>
    <w:p w14:paraId="0074AE0C" w14:textId="77777777" w:rsidR="00EE74F9" w:rsidRPr="002513B4" w:rsidRDefault="00EE74F9" w:rsidP="00EE74F9">
      <w:pPr>
        <w:pStyle w:val="ListBullet"/>
      </w:pPr>
      <w:r w:rsidRPr="002513B4">
        <w:t>If the same patient is sampled more than once in a calendar year or across multiple calendar years, the vendor must assign a new SID number to that patient each time</w:t>
      </w:r>
      <w:r w:rsidR="00A521FE" w:rsidRPr="002513B4">
        <w:t xml:space="preserve"> they are</w:t>
      </w:r>
      <w:r w:rsidRPr="002513B4">
        <w:t xml:space="preserve"> sampled.</w:t>
      </w:r>
    </w:p>
    <w:p w14:paraId="1745C26D" w14:textId="4F251EAE" w:rsidR="00EE74F9" w:rsidRPr="002513B4" w:rsidRDefault="0034388C" w:rsidP="00EE74F9">
      <w:pPr>
        <w:pStyle w:val="Heading3"/>
        <w:rPr>
          <w:lang w:val="en-US"/>
        </w:rPr>
      </w:pPr>
      <w:bookmarkStart w:id="138" w:name="_Toc402776473"/>
      <w:bookmarkStart w:id="139" w:name="_Toc407633061"/>
      <w:bookmarkStart w:id="140" w:name="_Toc24713338"/>
      <w:bookmarkStart w:id="141" w:name="_Toc217305575"/>
      <w:r w:rsidRPr="002513B4">
        <w:rPr>
          <w:lang w:val="en-US"/>
        </w:rPr>
        <w:t>4.9</w:t>
      </w:r>
      <w:r w:rsidRPr="002513B4">
        <w:rPr>
          <w:lang w:val="en-US"/>
        </w:rPr>
        <w:tab/>
      </w:r>
      <w:r w:rsidR="00EE74F9" w:rsidRPr="002513B4">
        <w:rPr>
          <w:lang w:val="en-US"/>
        </w:rPr>
        <w:t>Step 7: Finalize the Monthly Sample File and Initiate Data Collection Activities</w:t>
      </w:r>
      <w:bookmarkEnd w:id="138"/>
      <w:bookmarkEnd w:id="139"/>
      <w:bookmarkEnd w:id="140"/>
      <w:bookmarkEnd w:id="141"/>
    </w:p>
    <w:p w14:paraId="6A408EB0" w14:textId="77777777" w:rsidR="00EE74F9" w:rsidRPr="002513B4" w:rsidRDefault="00EE74F9" w:rsidP="00EE74F9">
      <w:pPr>
        <w:pStyle w:val="BodyText"/>
        <w:rPr>
          <w:lang w:val="en-US"/>
        </w:rPr>
      </w:pPr>
      <w:r w:rsidRPr="002513B4">
        <w:rPr>
          <w:lang w:val="en-US"/>
        </w:rPr>
        <w:t>Although HHCAHPS Survey data will be analyzed on a quarterly basis, sample frame construction, sample selection, and data collection are conducted monthly. Survey vendors must initiate the survey for each monthly sample within 3 weeks (21 days) after the end of the sample month. As soon as the sampling activities described above have been completed, data collection for the sample month should begin.</w:t>
      </w:r>
    </w:p>
    <w:p w14:paraId="49AED908" w14:textId="77777777" w:rsidR="00EE74F9" w:rsidRPr="002513B4" w:rsidRDefault="00EE74F9" w:rsidP="00EE74F9">
      <w:pPr>
        <w:pStyle w:val="BodyText"/>
        <w:rPr>
          <w:lang w:val="en-US"/>
        </w:rPr>
      </w:pPr>
      <w:r w:rsidRPr="002513B4">
        <w:rPr>
          <w:lang w:val="en-US"/>
        </w:rPr>
        <w:t xml:space="preserve">All data collection for each monthly sample must be completed within 6 weeks (42 days) after data collection begins. For </w:t>
      </w:r>
      <w:proofErr w:type="spellStart"/>
      <w:r w:rsidRPr="002513B4">
        <w:rPr>
          <w:lang w:val="en-US"/>
        </w:rPr>
        <w:t>mail</w:t>
      </w:r>
      <w:proofErr w:type="spellEnd"/>
      <w:r w:rsidRPr="002513B4">
        <w:rPr>
          <w:lang w:val="en-US"/>
        </w:rPr>
        <w:t xml:space="preserve">-only and mixed-mode surveys, data collection for a </w:t>
      </w:r>
      <w:r w:rsidRPr="002513B4">
        <w:rPr>
          <w:lang w:val="en-US"/>
        </w:rPr>
        <w:lastRenderedPageBreak/>
        <w:t>monthly sample must end 6 weeks after the first questionnaire is mailed. For telephone-only surveys, data collection must end 6 weeks following the first telephone attempt.</w:t>
      </w:r>
    </w:p>
    <w:p w14:paraId="53C8D708" w14:textId="0ED8D60F" w:rsidR="00EE74F9" w:rsidRPr="002513B4" w:rsidRDefault="00EE74F9" w:rsidP="00EE74F9">
      <w:pPr>
        <w:pStyle w:val="BodyText"/>
        <w:rPr>
          <w:lang w:val="en-US"/>
        </w:rPr>
      </w:pPr>
      <w:r w:rsidRPr="002513B4">
        <w:rPr>
          <w:lang w:val="en-US"/>
        </w:rPr>
        <w:t>CMS recognizes that on rare occasions an HHA may have a situation that prevent</w:t>
      </w:r>
      <w:r w:rsidR="00544C14" w:rsidRPr="002513B4">
        <w:rPr>
          <w:lang w:val="en-US"/>
        </w:rPr>
        <w:t>s</w:t>
      </w:r>
      <w:r w:rsidRPr="002513B4">
        <w:rPr>
          <w:lang w:val="en-US"/>
        </w:rPr>
        <w:t xml:space="preserve"> it from providing the monthly patient information in time for the vendor to initiate the survey within 21 days after the sample month ends; therefore, the vendor can initiate the survey within 26 days after the sample month ends. However, the survey vendor must submit a Discrepancy Notification Report, described in </w:t>
      </w:r>
      <w:r w:rsidRPr="002513B4">
        <w:rPr>
          <w:b/>
          <w:i/>
          <w:lang w:val="en-US"/>
        </w:rPr>
        <w:t>Chapter </w:t>
      </w:r>
      <w:r w:rsidR="00714B03" w:rsidRPr="002513B4">
        <w:rPr>
          <w:b/>
          <w:i/>
          <w:lang w:val="en-US"/>
        </w:rPr>
        <w:t>14</w:t>
      </w:r>
      <w:r w:rsidRPr="002513B4">
        <w:rPr>
          <w:lang w:val="en-US"/>
        </w:rPr>
        <w:t>, for each HHA for which the survey is initiated from the 22nd through the 26th day after the sample month ends.</w:t>
      </w:r>
    </w:p>
    <w:p w14:paraId="5AEE208D" w14:textId="342CD644" w:rsidR="00EE74F9" w:rsidRPr="002513B4" w:rsidRDefault="00EE74F9" w:rsidP="00EE74F9">
      <w:pPr>
        <w:pStyle w:val="BodyText"/>
        <w:rPr>
          <w:lang w:val="en-US"/>
        </w:rPr>
      </w:pPr>
      <w:r w:rsidRPr="002513B4">
        <w:rPr>
          <w:lang w:val="en-US"/>
        </w:rPr>
        <w:t xml:space="preserve">If the survey cannot be initiated within 26 days after the sample month ends because of a natural disaster (earthquake, tornado, etc.), snow or severe weather emergencies, fires, extreme computer problems, or for some other reason, CMS may allow a survey vendor to initiate the survey more than 26 days after the sample month ends. The HHA’s survey vendor, however, must request (via email to </w:t>
      </w:r>
      <w:hyperlink r:id="rId70" w:history="1">
        <w:r w:rsidR="00080C45" w:rsidRPr="002513B4">
          <w:rPr>
            <w:rStyle w:val="Hyperlink"/>
            <w:lang w:val="en-US"/>
          </w:rPr>
          <w:t>hhcahps@rti.org</w:t>
        </w:r>
      </w:hyperlink>
      <w:r w:rsidRPr="002513B4">
        <w:rPr>
          <w:lang w:val="en-US"/>
        </w:rPr>
        <w:t>) and obtain approval from CMS before initiating the survey more than 26 days after the sample month ends.</w:t>
      </w:r>
    </w:p>
    <w:p w14:paraId="7C63A878" w14:textId="060818A1" w:rsidR="00EE74F9" w:rsidRPr="002513B4" w:rsidRDefault="004A08B8" w:rsidP="00EE74F9">
      <w:pPr>
        <w:pStyle w:val="Heading3"/>
        <w:rPr>
          <w:lang w:val="en-US"/>
        </w:rPr>
      </w:pPr>
      <w:bookmarkStart w:id="142" w:name="_Toc24713339"/>
      <w:bookmarkStart w:id="143" w:name="_Toc217305576"/>
      <w:r w:rsidRPr="002513B4">
        <w:rPr>
          <w:lang w:val="en-US"/>
        </w:rPr>
        <w:t>4.10</w:t>
      </w:r>
      <w:r w:rsidR="00FA38B1" w:rsidRPr="002513B4">
        <w:rPr>
          <w:lang w:val="en-US"/>
        </w:rPr>
        <w:tab/>
      </w:r>
      <w:r w:rsidR="00EE74F9" w:rsidRPr="002513B4">
        <w:rPr>
          <w:lang w:val="en-US"/>
        </w:rPr>
        <w:t>Sampling Issues for Quality Assurance</w:t>
      </w:r>
      <w:bookmarkEnd w:id="142"/>
      <w:bookmarkEnd w:id="143"/>
    </w:p>
    <w:p w14:paraId="16430F56" w14:textId="557E4E82" w:rsidR="00EE74F9" w:rsidRPr="002513B4" w:rsidRDefault="00EE74F9" w:rsidP="00EE74F9">
      <w:pPr>
        <w:pStyle w:val="BodyText"/>
        <w:rPr>
          <w:lang w:val="en-US"/>
        </w:rPr>
      </w:pPr>
      <w:r w:rsidRPr="002513B4">
        <w:rPr>
          <w:lang w:val="en-US"/>
        </w:rPr>
        <w:t xml:space="preserve">Since the national implementation of the HHCAHPS Survey began in October 2009, CMS and the </w:t>
      </w:r>
      <w:r w:rsidR="00F2734F" w:rsidRPr="002513B4">
        <w:rPr>
          <w:lang w:val="en-US"/>
        </w:rPr>
        <w:t>HHCAHPS Survey Coordination Team</w:t>
      </w:r>
      <w:r w:rsidRPr="002513B4">
        <w:rPr>
          <w:lang w:val="en-US"/>
        </w:rPr>
        <w:t xml:space="preserve"> have observed some common misconceptions and problems with the sampling process. For quality assurance purposes, </w:t>
      </w:r>
      <w:r w:rsidR="00A7362D" w:rsidRPr="002513B4">
        <w:rPr>
          <w:b/>
          <w:bCs/>
          <w:i/>
          <w:iCs/>
          <w:lang w:val="en-US"/>
        </w:rPr>
        <w:t>Table 4.3</w:t>
      </w:r>
      <w:r w:rsidRPr="002513B4">
        <w:rPr>
          <w:lang w:val="en-US"/>
        </w:rPr>
        <w:t xml:space="preserve"> list</w:t>
      </w:r>
      <w:r w:rsidR="00A7362D" w:rsidRPr="002513B4">
        <w:rPr>
          <w:lang w:val="en-US"/>
        </w:rPr>
        <w:t>s</w:t>
      </w:r>
      <w:r w:rsidRPr="002513B4">
        <w:rPr>
          <w:lang w:val="en-US"/>
        </w:rPr>
        <w:t xml:space="preserve"> common misconceptions, paired with the proper implementation method that survey vendors should use to avoid these issues during the sampling process.</w:t>
      </w:r>
    </w:p>
    <w:p w14:paraId="25B026F1" w14:textId="3E257033" w:rsidR="00A604BC" w:rsidRPr="002513B4" w:rsidRDefault="00745DE8" w:rsidP="00745DE8">
      <w:pPr>
        <w:pStyle w:val="TableCaption"/>
      </w:pPr>
      <w:bookmarkStart w:id="144" w:name="_Toc217024910"/>
      <w:r w:rsidRPr="002513B4">
        <w:t>Table 4.3</w:t>
      </w:r>
      <w:r w:rsidR="006D4B36" w:rsidRPr="002513B4">
        <w:t xml:space="preserve"> </w:t>
      </w:r>
      <w:r w:rsidRPr="002513B4">
        <w:t>Sampling Common Misconceptions and Problems with Proper Implementation</w:t>
      </w:r>
      <w:bookmarkEnd w:id="144"/>
    </w:p>
    <w:tbl>
      <w:tblPr>
        <w:tblStyle w:val="GridTable4-Accent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Description w:val="Table 4.3 lists the common sampling misconceptions and problems with sampling implementation that includes the misconception coupled with the correct implementation."/>
      </w:tblPr>
      <w:tblGrid>
        <w:gridCol w:w="450"/>
        <w:gridCol w:w="1885"/>
        <w:gridCol w:w="2610"/>
        <w:gridCol w:w="4595"/>
      </w:tblGrid>
      <w:tr w:rsidR="00FD5732" w:rsidRPr="002513B4" w14:paraId="4BB29482" w14:textId="77777777" w:rsidTr="00D14F9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0" w:type="dxa"/>
            <w:shd w:val="clear" w:color="auto" w:fill="1F497D"/>
          </w:tcPr>
          <w:p w14:paraId="29505533" w14:textId="77777777" w:rsidR="00FD5732" w:rsidRPr="002513B4" w:rsidRDefault="00FD5732" w:rsidP="00FD5732">
            <w:pPr>
              <w:pStyle w:val="TableHeaders"/>
              <w:rPr>
                <w:b/>
                <w:bCs w:val="0"/>
                <w:sz w:val="20"/>
                <w:szCs w:val="20"/>
              </w:rPr>
            </w:pPr>
            <w:r w:rsidRPr="002513B4">
              <w:rPr>
                <w:b/>
                <w:bCs w:val="0"/>
                <w:sz w:val="20"/>
                <w:szCs w:val="20"/>
              </w:rPr>
              <w:t>#</w:t>
            </w:r>
          </w:p>
        </w:tc>
        <w:tc>
          <w:tcPr>
            <w:tcW w:w="1885" w:type="dxa"/>
            <w:shd w:val="clear" w:color="auto" w:fill="1F497D"/>
          </w:tcPr>
          <w:p w14:paraId="09E14645" w14:textId="77777777" w:rsidR="00FD5732" w:rsidRPr="002513B4" w:rsidRDefault="00FD5732" w:rsidP="00FD5732">
            <w:pPr>
              <w:pStyle w:val="TableHeaders"/>
              <w:cnfStyle w:val="100000000000" w:firstRow="1" w:lastRow="0" w:firstColumn="0" w:lastColumn="0" w:oddVBand="0" w:evenVBand="0" w:oddHBand="0" w:evenHBand="0" w:firstRowFirstColumn="0" w:firstRowLastColumn="0" w:lastRowFirstColumn="0" w:lastRowLastColumn="0"/>
              <w:rPr>
                <w:b/>
                <w:bCs w:val="0"/>
                <w:sz w:val="20"/>
                <w:szCs w:val="20"/>
              </w:rPr>
            </w:pPr>
            <w:r w:rsidRPr="002513B4">
              <w:rPr>
                <w:b/>
                <w:bCs w:val="0"/>
                <w:sz w:val="20"/>
                <w:szCs w:val="20"/>
              </w:rPr>
              <w:t>Area/Topic</w:t>
            </w:r>
          </w:p>
        </w:tc>
        <w:tc>
          <w:tcPr>
            <w:tcW w:w="2610" w:type="dxa"/>
            <w:shd w:val="clear" w:color="auto" w:fill="1F497D"/>
          </w:tcPr>
          <w:p w14:paraId="22517626" w14:textId="77777777" w:rsidR="00FD5732" w:rsidRPr="002513B4" w:rsidRDefault="00FD5732" w:rsidP="00FD5732">
            <w:pPr>
              <w:pStyle w:val="TableHeaders"/>
              <w:cnfStyle w:val="100000000000" w:firstRow="1" w:lastRow="0" w:firstColumn="0" w:lastColumn="0" w:oddVBand="0" w:evenVBand="0" w:oddHBand="0" w:evenHBand="0" w:firstRowFirstColumn="0" w:firstRowLastColumn="0" w:lastRowFirstColumn="0" w:lastRowLastColumn="0"/>
              <w:rPr>
                <w:b/>
                <w:bCs w:val="0"/>
                <w:sz w:val="20"/>
                <w:szCs w:val="20"/>
              </w:rPr>
            </w:pPr>
            <w:r w:rsidRPr="002513B4">
              <w:rPr>
                <w:b/>
                <w:bCs w:val="0"/>
                <w:sz w:val="20"/>
                <w:szCs w:val="20"/>
              </w:rPr>
              <w:t>Misconception</w:t>
            </w:r>
          </w:p>
        </w:tc>
        <w:tc>
          <w:tcPr>
            <w:tcW w:w="4595" w:type="dxa"/>
            <w:shd w:val="clear" w:color="auto" w:fill="1F497D"/>
          </w:tcPr>
          <w:p w14:paraId="2A2E424F" w14:textId="77777777" w:rsidR="00FD5732" w:rsidRPr="002513B4" w:rsidRDefault="00FD5732" w:rsidP="00FD5732">
            <w:pPr>
              <w:pStyle w:val="TableHeaders"/>
              <w:cnfStyle w:val="100000000000" w:firstRow="1" w:lastRow="0" w:firstColumn="0" w:lastColumn="0" w:oddVBand="0" w:evenVBand="0" w:oddHBand="0" w:evenHBand="0" w:firstRowFirstColumn="0" w:firstRowLastColumn="0" w:lastRowFirstColumn="0" w:lastRowLastColumn="0"/>
              <w:rPr>
                <w:b/>
                <w:bCs w:val="0"/>
                <w:sz w:val="20"/>
                <w:szCs w:val="20"/>
              </w:rPr>
            </w:pPr>
            <w:r w:rsidRPr="002513B4">
              <w:rPr>
                <w:b/>
                <w:bCs w:val="0"/>
                <w:sz w:val="20"/>
                <w:szCs w:val="20"/>
              </w:rPr>
              <w:t>Correct Implementation</w:t>
            </w:r>
          </w:p>
        </w:tc>
      </w:tr>
      <w:tr w:rsidR="00FD5732" w:rsidRPr="002513B4" w14:paraId="75621802"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1CF827D4" w14:textId="77777777" w:rsidR="00FD5732" w:rsidRPr="002513B4" w:rsidRDefault="00FD5732">
            <w:pPr>
              <w:rPr>
                <w:b w:val="0"/>
                <w:bCs w:val="0"/>
                <w:sz w:val="20"/>
                <w:szCs w:val="20"/>
              </w:rPr>
            </w:pPr>
            <w:r w:rsidRPr="002513B4">
              <w:rPr>
                <w:sz w:val="20"/>
                <w:szCs w:val="20"/>
              </w:rPr>
              <w:t>1</w:t>
            </w:r>
          </w:p>
        </w:tc>
        <w:tc>
          <w:tcPr>
            <w:tcW w:w="1885" w:type="dxa"/>
            <w:shd w:val="clear" w:color="auto" w:fill="D9D9D9"/>
          </w:tcPr>
          <w:p w14:paraId="771CB95E" w14:textId="77777777"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Patient Eligibility Criteria</w:t>
            </w:r>
          </w:p>
        </w:tc>
        <w:tc>
          <w:tcPr>
            <w:tcW w:w="2610" w:type="dxa"/>
            <w:shd w:val="clear" w:color="auto" w:fill="D9D9D9"/>
          </w:tcPr>
          <w:p w14:paraId="240044AF" w14:textId="77777777"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Patients with missing, incomplete or foreign mailing addresses or telephone numbers were considered as ineligible for the HHCAHPS Survey.</w:t>
            </w:r>
          </w:p>
        </w:tc>
        <w:tc>
          <w:tcPr>
            <w:tcW w:w="4595" w:type="dxa"/>
            <w:shd w:val="clear" w:color="auto" w:fill="D9D9D9"/>
          </w:tcPr>
          <w:p w14:paraId="3957B907" w14:textId="77777777"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 xml:space="preserve">Patients with missing, incomplete or foreign mailing addresses or telephone numbers </w:t>
            </w:r>
            <w:r w:rsidRPr="002513B4">
              <w:rPr>
                <w:i/>
                <w:iCs/>
                <w:sz w:val="20"/>
                <w:szCs w:val="20"/>
              </w:rPr>
              <w:t>are eligible</w:t>
            </w:r>
            <w:r w:rsidRPr="002513B4">
              <w:rPr>
                <w:sz w:val="20"/>
                <w:szCs w:val="20"/>
              </w:rPr>
              <w:t xml:space="preserve"> to be included in the HHCAHPS Survey if they meet all other survey eligibility criteria. HHCAHPS Survey vendors should keep in mind that home health care patients receive care in their homes; therefore, the HHA must have an address at which the home care is provided. Survey vendors should follow up with the HHA to obtain an address if the address is missing or incomplete. We also recommend that survey vendors use address or telephone-lookup services to confirm or obtain sample patients’ mailing address or telephone number.</w:t>
            </w:r>
          </w:p>
        </w:tc>
      </w:tr>
      <w:tr w:rsidR="00FD5732" w:rsidRPr="002513B4" w14:paraId="5D39D425"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4F3FF618" w14:textId="77777777" w:rsidR="00FD5732" w:rsidRPr="002513B4" w:rsidRDefault="00FD5732">
            <w:pPr>
              <w:rPr>
                <w:sz w:val="20"/>
                <w:szCs w:val="20"/>
              </w:rPr>
            </w:pPr>
            <w:r w:rsidRPr="002513B4">
              <w:rPr>
                <w:sz w:val="20"/>
                <w:szCs w:val="20"/>
              </w:rPr>
              <w:lastRenderedPageBreak/>
              <w:t>2</w:t>
            </w:r>
          </w:p>
        </w:tc>
        <w:tc>
          <w:tcPr>
            <w:tcW w:w="1885" w:type="dxa"/>
          </w:tcPr>
          <w:p w14:paraId="63D0C9D0" w14:textId="77777777"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Patient Eligibility Criteria</w:t>
            </w:r>
          </w:p>
        </w:tc>
        <w:tc>
          <w:tcPr>
            <w:tcW w:w="2610" w:type="dxa"/>
          </w:tcPr>
          <w:p w14:paraId="5BDB1B42" w14:textId="77777777"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It is acceptable for vendors to share the identities of sampled patients with their HHA client(s).</w:t>
            </w:r>
          </w:p>
        </w:tc>
        <w:tc>
          <w:tcPr>
            <w:tcW w:w="4595" w:type="dxa"/>
          </w:tcPr>
          <w:p w14:paraId="7FB1A5FD" w14:textId="77777777"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Vendors may not share the identities of sampled patients with their HHA clients. Patients’ identities must be protected because of the promise of confidentiality made to patients in the HHCAHPS cover letter, and the fact that patients who received care from an HHA may still be receiving care from that agency. However, if patients indicate via their response to the “Consent to Share Responses” question in the survey that it is acceptable for the vendor to link their responses with their name, the vendor can share that patient’s identity with the HHA.</w:t>
            </w:r>
          </w:p>
        </w:tc>
      </w:tr>
      <w:tr w:rsidR="00FD5732" w:rsidRPr="002513B4" w14:paraId="33A67B4B"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0E8C6563" w14:textId="77777777" w:rsidR="00FD5732" w:rsidRPr="002513B4" w:rsidRDefault="00FD5732">
            <w:pPr>
              <w:rPr>
                <w:sz w:val="20"/>
                <w:szCs w:val="20"/>
              </w:rPr>
            </w:pPr>
            <w:r w:rsidRPr="002513B4">
              <w:rPr>
                <w:sz w:val="20"/>
                <w:szCs w:val="20"/>
              </w:rPr>
              <w:t>3</w:t>
            </w:r>
          </w:p>
        </w:tc>
        <w:tc>
          <w:tcPr>
            <w:tcW w:w="1885" w:type="dxa"/>
            <w:shd w:val="clear" w:color="auto" w:fill="D9D9D9"/>
          </w:tcPr>
          <w:p w14:paraId="3B1A478E" w14:textId="77777777"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Patient Eligibility Criteria</w:t>
            </w:r>
          </w:p>
        </w:tc>
        <w:tc>
          <w:tcPr>
            <w:tcW w:w="2610" w:type="dxa"/>
            <w:shd w:val="clear" w:color="auto" w:fill="D9D9D9"/>
          </w:tcPr>
          <w:p w14:paraId="7A37DC16" w14:textId="77777777"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If two or more home health patients are in the same household, only one patient in the household or at the same address is eligible to participate in the HHCAHPS Survey.</w:t>
            </w:r>
          </w:p>
        </w:tc>
        <w:tc>
          <w:tcPr>
            <w:tcW w:w="4595" w:type="dxa"/>
            <w:shd w:val="clear" w:color="auto" w:fill="D9D9D9"/>
          </w:tcPr>
          <w:p w14:paraId="4C033F76" w14:textId="77777777"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This is not an eligibility criterion for HHCAHPS.</w:t>
            </w:r>
          </w:p>
        </w:tc>
      </w:tr>
      <w:tr w:rsidR="00FD5732" w:rsidRPr="002513B4" w14:paraId="62A2F41C"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14D4B587" w14:textId="77777777" w:rsidR="00FD5732" w:rsidRPr="002513B4" w:rsidRDefault="00FD5732">
            <w:pPr>
              <w:rPr>
                <w:sz w:val="20"/>
                <w:szCs w:val="20"/>
              </w:rPr>
            </w:pPr>
            <w:r w:rsidRPr="002513B4">
              <w:rPr>
                <w:sz w:val="20"/>
                <w:szCs w:val="20"/>
              </w:rPr>
              <w:t>4</w:t>
            </w:r>
          </w:p>
        </w:tc>
        <w:tc>
          <w:tcPr>
            <w:tcW w:w="1885" w:type="dxa"/>
          </w:tcPr>
          <w:p w14:paraId="3F44C83F" w14:textId="77777777"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Patient Eligibility Criteria</w:t>
            </w:r>
          </w:p>
        </w:tc>
        <w:tc>
          <w:tcPr>
            <w:tcW w:w="2610" w:type="dxa"/>
          </w:tcPr>
          <w:p w14:paraId="4CC2E84F" w14:textId="77777777"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If the HHA did not serve any patients who met survey eligibility criteria, the HHA does not need to submit a sample file to its HHCAHPS Survey vendor for that sample month or notify them in any way.</w:t>
            </w:r>
          </w:p>
        </w:tc>
        <w:tc>
          <w:tcPr>
            <w:tcW w:w="4595" w:type="dxa"/>
          </w:tcPr>
          <w:p w14:paraId="6C570D37" w14:textId="77777777"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To be compliant with HHCAHPS Survey participation requirements, all Medicare-certified HHAs participating in the HHCAHPS Survey must submit a monthly patient information file to their survey vendors for each sample month or send an email notification if no survey-eligible patients were served in a particular sample month. The survey vendor must, in turn, submit an XML data file to the HHCAHPS Data Center for each corresponding sample month. Otherwise, the HHA will be considered to have “missed” a month of survey participation and may be deemed noncompliant with HHCAHPS Survey participation requirements.</w:t>
            </w:r>
          </w:p>
        </w:tc>
      </w:tr>
      <w:tr w:rsidR="00FD5732" w:rsidRPr="002513B4" w14:paraId="148A6D4E"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6C63F64F" w14:textId="43171E49" w:rsidR="00FD5732" w:rsidRPr="002513B4" w:rsidRDefault="00FD5732">
            <w:pPr>
              <w:rPr>
                <w:sz w:val="20"/>
                <w:szCs w:val="20"/>
              </w:rPr>
            </w:pPr>
            <w:r w:rsidRPr="002513B4">
              <w:rPr>
                <w:sz w:val="20"/>
                <w:szCs w:val="20"/>
              </w:rPr>
              <w:t>5</w:t>
            </w:r>
          </w:p>
        </w:tc>
        <w:tc>
          <w:tcPr>
            <w:tcW w:w="1885" w:type="dxa"/>
            <w:shd w:val="clear" w:color="auto" w:fill="D9D9D9"/>
          </w:tcPr>
          <w:p w14:paraId="51ED3799" w14:textId="0551BFB8"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Patient Eligibility Criteria</w:t>
            </w:r>
          </w:p>
        </w:tc>
        <w:tc>
          <w:tcPr>
            <w:tcW w:w="2610" w:type="dxa"/>
            <w:shd w:val="clear" w:color="auto" w:fill="D9D9D9"/>
          </w:tcPr>
          <w:p w14:paraId="147ACF03" w14:textId="53F94ADF"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The HHCAHPS Survey vendor should treat patients as ineligible for the survey if the source of payment is missing.</w:t>
            </w:r>
          </w:p>
        </w:tc>
        <w:tc>
          <w:tcPr>
            <w:tcW w:w="4595" w:type="dxa"/>
            <w:shd w:val="clear" w:color="auto" w:fill="D9D9D9"/>
          </w:tcPr>
          <w:p w14:paraId="4664652E" w14:textId="023B53FA"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If the source of payment is missing on the monthly patient information file, the vendor should recontact the HHA to obtain the source of payment. If the HHA cannot provide the source of payment, the vendor should consider the patient as eligible for the survey if they meet all other survey eligibility criteria.</w:t>
            </w:r>
          </w:p>
        </w:tc>
      </w:tr>
      <w:tr w:rsidR="00FD5732" w:rsidRPr="002513B4" w14:paraId="0DFF8E44"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2E4AEF59" w14:textId="68F19E4C" w:rsidR="00FD5732" w:rsidRPr="002513B4" w:rsidRDefault="00FD5732">
            <w:pPr>
              <w:rPr>
                <w:sz w:val="20"/>
                <w:szCs w:val="20"/>
              </w:rPr>
            </w:pPr>
            <w:r w:rsidRPr="002513B4">
              <w:rPr>
                <w:sz w:val="20"/>
                <w:szCs w:val="20"/>
              </w:rPr>
              <w:lastRenderedPageBreak/>
              <w:t>6</w:t>
            </w:r>
          </w:p>
        </w:tc>
        <w:tc>
          <w:tcPr>
            <w:tcW w:w="1885" w:type="dxa"/>
          </w:tcPr>
          <w:p w14:paraId="0BCCF863" w14:textId="5EE82CC6"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Patient Eligibility Criteria</w:t>
            </w:r>
          </w:p>
        </w:tc>
        <w:tc>
          <w:tcPr>
            <w:tcW w:w="2610" w:type="dxa"/>
          </w:tcPr>
          <w:p w14:paraId="51619347" w14:textId="512E581B"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If a patient’s payer source includes private pay </w:t>
            </w:r>
            <w:r w:rsidRPr="002513B4">
              <w:rPr>
                <w:b/>
                <w:bCs/>
                <w:i/>
                <w:iCs/>
                <w:sz w:val="20"/>
                <w:szCs w:val="20"/>
              </w:rPr>
              <w:t>in combination with</w:t>
            </w:r>
            <w:r w:rsidRPr="002513B4">
              <w:rPr>
                <w:sz w:val="20"/>
                <w:szCs w:val="20"/>
              </w:rPr>
              <w:t xml:space="preserve"> Medicare and/or Medicaid, the patient is not eligible for the HHCAHPS Survey.</w:t>
            </w:r>
          </w:p>
        </w:tc>
        <w:tc>
          <w:tcPr>
            <w:tcW w:w="4595" w:type="dxa"/>
          </w:tcPr>
          <w:p w14:paraId="275BF62B" w14:textId="68E3C55A"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A patient whose source of payment is private pay in addition to Medicare and/or Medicaid is eligible for the HHCAHPS Survey (if they meet the other eligibility criteria). The presence of Medicare and/or Medicaid as the source of payment determines if the patient meets the payer source eligibility requirement. On the other hand, a patient whose source of payment is only private pay would not be eligible for the HHCAHPS Survey.</w:t>
            </w:r>
          </w:p>
        </w:tc>
      </w:tr>
      <w:tr w:rsidR="00FD5732" w:rsidRPr="002513B4" w14:paraId="66DF75A0"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0EB48015" w14:textId="1852CA44" w:rsidR="00FD5732" w:rsidRPr="002513B4" w:rsidRDefault="00FD5732">
            <w:pPr>
              <w:rPr>
                <w:sz w:val="20"/>
                <w:szCs w:val="20"/>
              </w:rPr>
            </w:pPr>
            <w:r w:rsidRPr="002513B4">
              <w:rPr>
                <w:sz w:val="20"/>
                <w:szCs w:val="20"/>
              </w:rPr>
              <w:t>7</w:t>
            </w:r>
          </w:p>
        </w:tc>
        <w:tc>
          <w:tcPr>
            <w:tcW w:w="1885" w:type="dxa"/>
            <w:shd w:val="clear" w:color="auto" w:fill="D9D9D9"/>
          </w:tcPr>
          <w:p w14:paraId="3DA26698" w14:textId="4BDD5FBB"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Patient Eligibility Criteria</w:t>
            </w:r>
          </w:p>
        </w:tc>
        <w:tc>
          <w:tcPr>
            <w:tcW w:w="2610" w:type="dxa"/>
            <w:shd w:val="clear" w:color="auto" w:fill="D9D9D9"/>
          </w:tcPr>
          <w:p w14:paraId="1A469B34" w14:textId="3B71A990"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Vendors should remove patients from the number of eligible patients entered on the XML data file if those patients were identified as deceased or reported during data collection that they did not receive care from the HHA.</w:t>
            </w:r>
          </w:p>
        </w:tc>
        <w:tc>
          <w:tcPr>
            <w:tcW w:w="4595" w:type="dxa"/>
            <w:shd w:val="clear" w:color="auto" w:fill="D9D9D9"/>
          </w:tcPr>
          <w:p w14:paraId="21BCE665" w14:textId="58352901"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 xml:space="preserve">The number of eligible </w:t>
            </w:r>
            <w:proofErr w:type="gramStart"/>
            <w:r w:rsidRPr="002513B4">
              <w:rPr>
                <w:sz w:val="20"/>
                <w:szCs w:val="20"/>
              </w:rPr>
              <w:t>patients</w:t>
            </w:r>
            <w:proofErr w:type="gramEnd"/>
            <w:r w:rsidRPr="002513B4">
              <w:rPr>
                <w:sz w:val="20"/>
                <w:szCs w:val="20"/>
              </w:rPr>
              <w:t xml:space="preserve"> data element on the XML data file must reflect the number of eligible patients at the time of sampling (i.e., who were included on the monthly patient information file and must include patients who were later identified as ineligible for the survey during the data collection period). Do not take these ineligible patients out of the total number eligible count.</w:t>
            </w:r>
          </w:p>
        </w:tc>
      </w:tr>
      <w:tr w:rsidR="00FD5732" w:rsidRPr="002513B4" w14:paraId="7FDBDAA9"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0D0B09F7" w14:textId="3B264176" w:rsidR="00FD5732" w:rsidRPr="002513B4" w:rsidRDefault="00FD5732">
            <w:pPr>
              <w:rPr>
                <w:sz w:val="20"/>
                <w:szCs w:val="20"/>
              </w:rPr>
            </w:pPr>
            <w:r w:rsidRPr="002513B4">
              <w:rPr>
                <w:sz w:val="20"/>
                <w:szCs w:val="20"/>
              </w:rPr>
              <w:t>8</w:t>
            </w:r>
          </w:p>
        </w:tc>
        <w:tc>
          <w:tcPr>
            <w:tcW w:w="1885" w:type="dxa"/>
          </w:tcPr>
          <w:p w14:paraId="7B89EE31" w14:textId="0C3CC665"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Skilled Visits and Lookback Period</w:t>
            </w:r>
          </w:p>
        </w:tc>
        <w:tc>
          <w:tcPr>
            <w:tcW w:w="2610" w:type="dxa"/>
          </w:tcPr>
          <w:p w14:paraId="7583C71B" w14:textId="3B142D04"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The lookback period is defined as a 60-day lookback period.</w:t>
            </w:r>
          </w:p>
        </w:tc>
        <w:tc>
          <w:tcPr>
            <w:tcW w:w="4595" w:type="dxa"/>
          </w:tcPr>
          <w:p w14:paraId="5B7A5A02" w14:textId="44D1DBBB"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The lookback period is the sample month and the month that immediately precedes the sample month. The lookback period is defined in terms of months, not days. HHCAHPS Survey vendors should make sure that their HHA clients understand the definition of the lookback </w:t>
            </w:r>
            <w:proofErr w:type="gramStart"/>
            <w:r w:rsidRPr="002513B4">
              <w:rPr>
                <w:sz w:val="20"/>
                <w:szCs w:val="20"/>
              </w:rPr>
              <w:t>period, and</w:t>
            </w:r>
            <w:proofErr w:type="gramEnd"/>
            <w:r w:rsidRPr="002513B4">
              <w:rPr>
                <w:sz w:val="20"/>
                <w:szCs w:val="20"/>
              </w:rPr>
              <w:t xml:space="preserve"> not refer to it as a “60-day” lookback period.</w:t>
            </w:r>
          </w:p>
        </w:tc>
      </w:tr>
      <w:tr w:rsidR="00FD5732" w:rsidRPr="002513B4" w14:paraId="249EEA4C"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2443EC7F" w14:textId="45AA0C88" w:rsidR="00FD5732" w:rsidRPr="002513B4" w:rsidRDefault="00FD5732">
            <w:pPr>
              <w:rPr>
                <w:sz w:val="20"/>
                <w:szCs w:val="20"/>
              </w:rPr>
            </w:pPr>
            <w:r w:rsidRPr="002513B4">
              <w:rPr>
                <w:sz w:val="20"/>
                <w:szCs w:val="20"/>
              </w:rPr>
              <w:t>9</w:t>
            </w:r>
          </w:p>
        </w:tc>
        <w:tc>
          <w:tcPr>
            <w:tcW w:w="1885" w:type="dxa"/>
            <w:shd w:val="clear" w:color="auto" w:fill="D9D9D9"/>
          </w:tcPr>
          <w:p w14:paraId="5CD47DC1" w14:textId="706E1135"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Skilled Visits and Lookback Period</w:t>
            </w:r>
          </w:p>
        </w:tc>
        <w:tc>
          <w:tcPr>
            <w:tcW w:w="2610" w:type="dxa"/>
            <w:shd w:val="clear" w:color="auto" w:fill="D9D9D9"/>
          </w:tcPr>
          <w:p w14:paraId="5EE9491A" w14:textId="0FDF9B12"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An HHCAHPS Survey vendor can calculate and use the total number of skilled visits a patient had in the lookback period, rather than use the number of skilled visits reported by the HHA.</w:t>
            </w:r>
          </w:p>
        </w:tc>
        <w:tc>
          <w:tcPr>
            <w:tcW w:w="4595" w:type="dxa"/>
            <w:shd w:val="clear" w:color="auto" w:fill="D9D9D9"/>
          </w:tcPr>
          <w:p w14:paraId="36A64B2E" w14:textId="08E1CE42"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It is not acceptable for a vendor to calculate the number of skilled visits in the lookback period. HHCAHPS Survey vendors are required to use the number of skilled visits included on the monthly patient information file submitted by the HHA. However, if an HHA or its IT vendor provides the dates of all visits in the lookback period instead of the total number of visits, it is acceptable for the vendor to calculate the total number of visits in the lookback period. If the number of skilled visits the patient had during the lookback period is missing, the vendor should follow up with the HHA to retrieve the missing information. If the HHA cannot provide the total number of visits in the lookback period, then the vendor should consider the patient as eligible if they meet all other survey eligibility criteria.</w:t>
            </w:r>
          </w:p>
        </w:tc>
      </w:tr>
      <w:tr w:rsidR="00FD5732" w:rsidRPr="002513B4" w14:paraId="6A757449"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7AED1195" w14:textId="14E2CDBA" w:rsidR="00FD5732" w:rsidRPr="002513B4" w:rsidRDefault="00FD5732">
            <w:pPr>
              <w:rPr>
                <w:sz w:val="20"/>
                <w:szCs w:val="20"/>
              </w:rPr>
            </w:pPr>
            <w:r w:rsidRPr="002513B4">
              <w:rPr>
                <w:sz w:val="20"/>
                <w:szCs w:val="20"/>
              </w:rPr>
              <w:lastRenderedPageBreak/>
              <w:t>10</w:t>
            </w:r>
          </w:p>
        </w:tc>
        <w:tc>
          <w:tcPr>
            <w:tcW w:w="1885" w:type="dxa"/>
          </w:tcPr>
          <w:p w14:paraId="73C87351" w14:textId="2081E492"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Sampling Procedures and Documentation Requirements</w:t>
            </w:r>
          </w:p>
        </w:tc>
        <w:tc>
          <w:tcPr>
            <w:tcW w:w="2610" w:type="dxa"/>
          </w:tcPr>
          <w:p w14:paraId="6BFCE3BB" w14:textId="6135740E"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It is acceptable for a survey vendor to use only the patient’s medical record number to identify patients who may have been listed more than once on a monthly patient information file or to identify patients who have been sampled in the last 5 months.</w:t>
            </w:r>
          </w:p>
        </w:tc>
        <w:tc>
          <w:tcPr>
            <w:tcW w:w="4595" w:type="dxa"/>
          </w:tcPr>
          <w:p w14:paraId="5FB98022" w14:textId="211F1EC6"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HHCAHPS Survey vendors are urged to use more than one data element to identify patients for whom duplicate information is provided on the monthly patient information file and to identify patients who have been sampled in the last 5 months. Using the MRN together with at least one other data element, including patient name, date of birth, telephone number, or address will ensure that the correct patient is identified. Vendors may choose to perform the de</w:t>
            </w:r>
            <w:r w:rsidRPr="002513B4">
              <w:rPr>
                <w:sz w:val="20"/>
                <w:szCs w:val="20"/>
              </w:rPr>
              <w:noBreakHyphen/>
              <w:t>duplication process in multiple steps. However, the MRN should never be applied as the sole data element in any of the steps; that is, it should always be combined with another patient data element.</w:t>
            </w:r>
          </w:p>
        </w:tc>
      </w:tr>
      <w:tr w:rsidR="00FD5732" w:rsidRPr="002513B4" w14:paraId="5116B37C"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256FF9D3" w14:textId="4B6E3E7C" w:rsidR="00FD5732" w:rsidRPr="002513B4" w:rsidRDefault="00FD5732">
            <w:pPr>
              <w:rPr>
                <w:sz w:val="20"/>
                <w:szCs w:val="20"/>
              </w:rPr>
            </w:pPr>
            <w:r w:rsidRPr="002513B4">
              <w:rPr>
                <w:sz w:val="20"/>
                <w:szCs w:val="20"/>
              </w:rPr>
              <w:t>11</w:t>
            </w:r>
          </w:p>
        </w:tc>
        <w:tc>
          <w:tcPr>
            <w:tcW w:w="1885" w:type="dxa"/>
            <w:shd w:val="clear" w:color="auto" w:fill="D9D9D9"/>
          </w:tcPr>
          <w:p w14:paraId="53CFE34D" w14:textId="6799B58E"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Sampling Procedures and Documentation Requirements</w:t>
            </w:r>
          </w:p>
        </w:tc>
        <w:tc>
          <w:tcPr>
            <w:tcW w:w="2610" w:type="dxa"/>
            <w:shd w:val="clear" w:color="auto" w:fill="D9D9D9"/>
          </w:tcPr>
          <w:p w14:paraId="694FDE08" w14:textId="1415F9D2"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A SID number can be assigned more than once.</w:t>
            </w:r>
          </w:p>
        </w:tc>
        <w:tc>
          <w:tcPr>
            <w:tcW w:w="4595" w:type="dxa"/>
            <w:shd w:val="clear" w:color="auto" w:fill="D9D9D9"/>
          </w:tcPr>
          <w:p w14:paraId="3805C9AD" w14:textId="7755D5EE"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 xml:space="preserve">Once a SID number is assigned, it must never be used again. If a patient is sampled more than once, a new SID number must be assigned to that patient each time they are sampled. During the sampling process, all vendors should check the sample file to make sure that the same SID number is not assigned to two different </w:t>
            </w:r>
            <w:proofErr w:type="gramStart"/>
            <w:r w:rsidRPr="002513B4">
              <w:rPr>
                <w:sz w:val="20"/>
                <w:szCs w:val="20"/>
              </w:rPr>
              <w:t>patients</w:t>
            </w:r>
            <w:proofErr w:type="gramEnd"/>
            <w:r w:rsidRPr="002513B4">
              <w:rPr>
                <w:sz w:val="20"/>
                <w:szCs w:val="20"/>
              </w:rPr>
              <w:t xml:space="preserve"> and that the SID has not been assigned in a preceding sample month.</w:t>
            </w:r>
          </w:p>
        </w:tc>
      </w:tr>
      <w:tr w:rsidR="00FD5732" w:rsidRPr="002513B4" w14:paraId="3EE31C91"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52322FF1" w14:textId="7FE09305" w:rsidR="00FD5732" w:rsidRPr="002513B4" w:rsidRDefault="00FD5732">
            <w:pPr>
              <w:rPr>
                <w:sz w:val="20"/>
                <w:szCs w:val="20"/>
              </w:rPr>
            </w:pPr>
            <w:r w:rsidRPr="002513B4">
              <w:rPr>
                <w:sz w:val="20"/>
                <w:szCs w:val="20"/>
              </w:rPr>
              <w:t>12</w:t>
            </w:r>
          </w:p>
        </w:tc>
        <w:tc>
          <w:tcPr>
            <w:tcW w:w="1885" w:type="dxa"/>
          </w:tcPr>
          <w:p w14:paraId="6A661B06" w14:textId="5D53BB7B"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Sampling Procedures and Documentation Requirements</w:t>
            </w:r>
          </w:p>
        </w:tc>
        <w:tc>
          <w:tcPr>
            <w:tcW w:w="2610" w:type="dxa"/>
          </w:tcPr>
          <w:p w14:paraId="6A27934A" w14:textId="617546B4"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An HHCAHPS Survey vendor can conduct a census survey of all eligible patients during the first sample month that an HHA administers the HHCAHPS Survey; therefore, the survey vendor does not have to conduct the survey for the next 5 months unless the HHA has served new patients in those 5 months.</w:t>
            </w:r>
          </w:p>
        </w:tc>
        <w:tc>
          <w:tcPr>
            <w:tcW w:w="4595" w:type="dxa"/>
          </w:tcPr>
          <w:p w14:paraId="0B4A5D1F" w14:textId="73BF910F"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As described in this chapter, HHCAHPS Survey vendors must select and survey a sample of patients each sample month, including for very small HHAs. Using a sampling rate and selecting a sample of patients each sample month will ensure that an even distribution of patients is surveyed across a 12-month period.</w:t>
            </w:r>
          </w:p>
        </w:tc>
      </w:tr>
      <w:tr w:rsidR="00FD5732" w:rsidRPr="002513B4" w14:paraId="6AAEE928"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4A4EF46F" w14:textId="5ADC972F" w:rsidR="00FD5732" w:rsidRPr="002513B4" w:rsidRDefault="00FD5732">
            <w:pPr>
              <w:rPr>
                <w:sz w:val="20"/>
                <w:szCs w:val="20"/>
              </w:rPr>
            </w:pPr>
            <w:r w:rsidRPr="002513B4">
              <w:rPr>
                <w:sz w:val="20"/>
                <w:szCs w:val="20"/>
              </w:rPr>
              <w:t>13</w:t>
            </w:r>
          </w:p>
        </w:tc>
        <w:tc>
          <w:tcPr>
            <w:tcW w:w="1885" w:type="dxa"/>
            <w:shd w:val="clear" w:color="auto" w:fill="D9D9D9"/>
          </w:tcPr>
          <w:p w14:paraId="5204190B" w14:textId="554A7286"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Sampling Procedures and Documentation Requirements</w:t>
            </w:r>
          </w:p>
        </w:tc>
        <w:tc>
          <w:tcPr>
            <w:tcW w:w="2610" w:type="dxa"/>
            <w:shd w:val="clear" w:color="auto" w:fill="D9D9D9"/>
          </w:tcPr>
          <w:p w14:paraId="0241A938" w14:textId="5DB95A60"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The sampling rate should be adjusted each month.</w:t>
            </w:r>
          </w:p>
        </w:tc>
        <w:tc>
          <w:tcPr>
            <w:tcW w:w="4595" w:type="dxa"/>
            <w:shd w:val="clear" w:color="auto" w:fill="D9D9D9"/>
          </w:tcPr>
          <w:p w14:paraId="2C05843D" w14:textId="05902349"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The sampling rate should remain constant during a quarter. If there is a huge difference in the number of patients served in a month within a quarter, the HHCAHPS Survey vendor should follow up with the HHA to make sure that the information on the file is correct and determine the reason for the difference.</w:t>
            </w:r>
          </w:p>
        </w:tc>
      </w:tr>
      <w:tr w:rsidR="00FD5732" w:rsidRPr="002513B4" w14:paraId="03BDD52A"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2ACC4E33" w14:textId="444ABF03" w:rsidR="00FD5732" w:rsidRPr="002513B4" w:rsidRDefault="00FD5732">
            <w:pPr>
              <w:rPr>
                <w:sz w:val="20"/>
                <w:szCs w:val="20"/>
              </w:rPr>
            </w:pPr>
            <w:r w:rsidRPr="002513B4">
              <w:rPr>
                <w:sz w:val="20"/>
                <w:szCs w:val="20"/>
              </w:rPr>
              <w:lastRenderedPageBreak/>
              <w:t>14</w:t>
            </w:r>
          </w:p>
        </w:tc>
        <w:tc>
          <w:tcPr>
            <w:tcW w:w="1885" w:type="dxa"/>
          </w:tcPr>
          <w:p w14:paraId="7AE0BE2F" w14:textId="1E6F593D"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Sampling Procedures and Documentation Requirements</w:t>
            </w:r>
          </w:p>
        </w:tc>
        <w:tc>
          <w:tcPr>
            <w:tcW w:w="2610" w:type="dxa"/>
          </w:tcPr>
          <w:p w14:paraId="1AED121A" w14:textId="0211F808"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Vendors do not need to retain documentation of seed number or random numbers used.</w:t>
            </w:r>
          </w:p>
        </w:tc>
        <w:tc>
          <w:tcPr>
            <w:tcW w:w="4595" w:type="dxa"/>
          </w:tcPr>
          <w:p w14:paraId="13DC4132" w14:textId="0F6BA37A"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Documentation of the seed number and the random number generation and application process is a critical component of the HHCAHPS sampling protocols, so that samples can be replicated for review during HHCAHPS site visits.</w:t>
            </w:r>
          </w:p>
        </w:tc>
      </w:tr>
      <w:tr w:rsidR="00FD5732" w:rsidRPr="002513B4" w14:paraId="443C181D"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6A0D6FB1" w14:textId="363F77CC" w:rsidR="00FD5732" w:rsidRPr="002513B4" w:rsidRDefault="00FD5732">
            <w:pPr>
              <w:rPr>
                <w:sz w:val="20"/>
                <w:szCs w:val="20"/>
              </w:rPr>
            </w:pPr>
            <w:r w:rsidRPr="002513B4">
              <w:rPr>
                <w:sz w:val="20"/>
                <w:szCs w:val="20"/>
              </w:rPr>
              <w:t>15</w:t>
            </w:r>
          </w:p>
        </w:tc>
        <w:tc>
          <w:tcPr>
            <w:tcW w:w="1885" w:type="dxa"/>
            <w:shd w:val="clear" w:color="auto" w:fill="D9D9D9"/>
          </w:tcPr>
          <w:p w14:paraId="2082C3B4" w14:textId="5B3C1A14"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Sampling Procedures and Documentation Requirements</w:t>
            </w:r>
          </w:p>
        </w:tc>
        <w:tc>
          <w:tcPr>
            <w:tcW w:w="2610" w:type="dxa"/>
            <w:shd w:val="clear" w:color="auto" w:fill="D9D9D9"/>
          </w:tcPr>
          <w:p w14:paraId="539A812B" w14:textId="075D7140"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Vendors do not need to retain documentation of ineligible sample members.</w:t>
            </w:r>
          </w:p>
        </w:tc>
        <w:tc>
          <w:tcPr>
            <w:tcW w:w="4595" w:type="dxa"/>
            <w:shd w:val="clear" w:color="auto" w:fill="D9D9D9"/>
          </w:tcPr>
          <w:p w14:paraId="695A31F9" w14:textId="1B3B428A"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Vendors must retain a separate file or list of each patient deemed ineligible and the reason that the patient did not meet the eligibility criteria. This information allows someone other than the person who selected the sample to conduct quality control of the sample, as a second person can easily check to make sure that the right patients were excluded. This information is also subject to review during site visits.</w:t>
            </w:r>
          </w:p>
        </w:tc>
      </w:tr>
      <w:tr w:rsidR="00FD5732" w:rsidRPr="002513B4" w14:paraId="798F0D03"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531A2F62" w14:textId="2899B4AB" w:rsidR="00FD5732" w:rsidRPr="002513B4" w:rsidRDefault="00FD5732">
            <w:pPr>
              <w:rPr>
                <w:sz w:val="20"/>
                <w:szCs w:val="20"/>
              </w:rPr>
            </w:pPr>
            <w:r w:rsidRPr="002513B4">
              <w:rPr>
                <w:sz w:val="20"/>
                <w:szCs w:val="20"/>
              </w:rPr>
              <w:t>16</w:t>
            </w:r>
          </w:p>
        </w:tc>
        <w:tc>
          <w:tcPr>
            <w:tcW w:w="1885" w:type="dxa"/>
          </w:tcPr>
          <w:p w14:paraId="2E98B252" w14:textId="70FD62C9"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Processing Patient Administrative Data</w:t>
            </w:r>
          </w:p>
        </w:tc>
        <w:tc>
          <w:tcPr>
            <w:tcW w:w="2610" w:type="dxa"/>
          </w:tcPr>
          <w:p w14:paraId="32FDC6F6" w14:textId="4B707B23"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Vendors can use the ADL deficit count for individual ADLs to calculate and include on the XML data file the total ADL deficit count.</w:t>
            </w:r>
          </w:p>
        </w:tc>
        <w:tc>
          <w:tcPr>
            <w:tcW w:w="4595" w:type="dxa"/>
          </w:tcPr>
          <w:p w14:paraId="4CC696AB" w14:textId="07388DED"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It is not acceptable for vendors to calculate and include on the XML data file the total number of ADL deficits. A vendor must report the same ADL information that the HHA provides on the monthly patient information file. If the HHA provides both a total ADL deficit count and the number of deficits for each individual ADL, the vendor must include both on the XML data file.</w:t>
            </w:r>
          </w:p>
        </w:tc>
      </w:tr>
      <w:tr w:rsidR="00FD5732" w:rsidRPr="002513B4" w14:paraId="01E30534"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4DD656B3" w14:textId="5219160B" w:rsidR="00FD5732" w:rsidRPr="002513B4" w:rsidRDefault="00FD5732">
            <w:pPr>
              <w:rPr>
                <w:sz w:val="20"/>
                <w:szCs w:val="20"/>
              </w:rPr>
            </w:pPr>
            <w:r w:rsidRPr="002513B4">
              <w:rPr>
                <w:sz w:val="20"/>
                <w:szCs w:val="20"/>
              </w:rPr>
              <w:t>17</w:t>
            </w:r>
          </w:p>
        </w:tc>
        <w:tc>
          <w:tcPr>
            <w:tcW w:w="1885" w:type="dxa"/>
            <w:shd w:val="clear" w:color="auto" w:fill="D9D9D9"/>
          </w:tcPr>
          <w:p w14:paraId="32C8F1FC" w14:textId="5414CC12"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Processing Patient Administrative Data</w:t>
            </w:r>
          </w:p>
        </w:tc>
        <w:tc>
          <w:tcPr>
            <w:tcW w:w="2610" w:type="dxa"/>
            <w:shd w:val="clear" w:color="auto" w:fill="D9D9D9"/>
          </w:tcPr>
          <w:p w14:paraId="61F82C08" w14:textId="6CACB8CF"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Vendors should enter a value of 0 (zero) on the XML data file for the ADL deficit count if the HHA does not provide either the total ADL count or the number of deficits for each individual ADL.</w:t>
            </w:r>
          </w:p>
        </w:tc>
        <w:tc>
          <w:tcPr>
            <w:tcW w:w="4595" w:type="dxa"/>
            <w:shd w:val="clear" w:color="auto" w:fill="D9D9D9"/>
          </w:tcPr>
          <w:p w14:paraId="08BE26CC" w14:textId="617C29AF"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If an HHA does not provide the number of ADL deficits in the monthly patient information file, vendors must code the value on the XML as “M” for missing, rather than zero. If the ADL for which the value is missing is incorrectly coded as 0, it will incorrectly indicate that the sample patient was fully independent for that ADL.</w:t>
            </w:r>
          </w:p>
        </w:tc>
      </w:tr>
      <w:tr w:rsidR="00FD5732" w:rsidRPr="002513B4" w14:paraId="1DDCB7CC"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36AA0D6B" w14:textId="7AB7125C" w:rsidR="00FD5732" w:rsidRPr="002513B4" w:rsidRDefault="00FD5732">
            <w:pPr>
              <w:rPr>
                <w:sz w:val="20"/>
                <w:szCs w:val="20"/>
              </w:rPr>
            </w:pPr>
            <w:r w:rsidRPr="002513B4">
              <w:rPr>
                <w:sz w:val="20"/>
                <w:szCs w:val="20"/>
              </w:rPr>
              <w:t>18</w:t>
            </w:r>
          </w:p>
        </w:tc>
        <w:tc>
          <w:tcPr>
            <w:tcW w:w="1885" w:type="dxa"/>
          </w:tcPr>
          <w:p w14:paraId="34D1A23B" w14:textId="2C26EA0C"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Processing Patient Administrative Data</w:t>
            </w:r>
          </w:p>
        </w:tc>
        <w:tc>
          <w:tcPr>
            <w:tcW w:w="2610" w:type="dxa"/>
          </w:tcPr>
          <w:p w14:paraId="69497B89" w14:textId="1C922E1B"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Vendors can calculate the patient’s age as of the beginning of the sample month.</w:t>
            </w:r>
          </w:p>
        </w:tc>
        <w:tc>
          <w:tcPr>
            <w:tcW w:w="4595" w:type="dxa"/>
          </w:tcPr>
          <w:p w14:paraId="43152943" w14:textId="7580F7E5"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Vendors need to compute the patient’s age as of the end of the sample month in which the patient is being considered for eligibility. Some vendors were using other variations in how age was being computed (such as the date the sample was being </w:t>
            </w:r>
            <w:proofErr w:type="gramStart"/>
            <w:r w:rsidRPr="002513B4">
              <w:rPr>
                <w:sz w:val="20"/>
                <w:szCs w:val="20"/>
              </w:rPr>
              <w:t>processed</w:t>
            </w:r>
            <w:proofErr w:type="gramEnd"/>
            <w:r w:rsidRPr="002513B4">
              <w:rPr>
                <w:sz w:val="20"/>
                <w:szCs w:val="20"/>
              </w:rPr>
              <w:t xml:space="preserve"> or date patient received the home health visit). Vendors should check their age algorithm to ensure that the patient’s age is being computed properly.</w:t>
            </w:r>
          </w:p>
        </w:tc>
      </w:tr>
      <w:tr w:rsidR="00FD5732" w:rsidRPr="002513B4" w14:paraId="0EEEFBBC"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75175A4B" w14:textId="5D557787" w:rsidR="00FD5732" w:rsidRPr="002513B4" w:rsidRDefault="00FD5732">
            <w:pPr>
              <w:rPr>
                <w:sz w:val="20"/>
                <w:szCs w:val="20"/>
              </w:rPr>
            </w:pPr>
            <w:r w:rsidRPr="002513B4">
              <w:rPr>
                <w:sz w:val="20"/>
                <w:szCs w:val="20"/>
              </w:rPr>
              <w:lastRenderedPageBreak/>
              <w:t>19</w:t>
            </w:r>
          </w:p>
        </w:tc>
        <w:tc>
          <w:tcPr>
            <w:tcW w:w="1885" w:type="dxa"/>
            <w:shd w:val="clear" w:color="auto" w:fill="D9D9D9"/>
          </w:tcPr>
          <w:p w14:paraId="1BEFE9E8" w14:textId="04331F9A"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Processing Patient Administrative Data</w:t>
            </w:r>
          </w:p>
        </w:tc>
        <w:tc>
          <w:tcPr>
            <w:tcW w:w="2610" w:type="dxa"/>
            <w:shd w:val="clear" w:color="auto" w:fill="D9D9D9"/>
          </w:tcPr>
          <w:p w14:paraId="5DED2A18" w14:textId="4D2C3F79"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If an HHA changes/switches vendors, the current HHCAHPS Survey vendor must provide a file containing patient information about all patients sampled in the preceding sample months so that the new vendor can exclude those patients from the sample frame.</w:t>
            </w:r>
          </w:p>
        </w:tc>
        <w:tc>
          <w:tcPr>
            <w:tcW w:w="4595" w:type="dxa"/>
            <w:shd w:val="clear" w:color="auto" w:fill="D9D9D9"/>
          </w:tcPr>
          <w:p w14:paraId="6E74B920" w14:textId="36F633B2"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Vendors are not required to provide the new vendor with a file containing information about patients sampled in the last 5 months.</w:t>
            </w:r>
          </w:p>
        </w:tc>
      </w:tr>
      <w:tr w:rsidR="00FD5732" w:rsidRPr="002513B4" w14:paraId="2550B429"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668806F4" w14:textId="09570052" w:rsidR="00FD5732" w:rsidRPr="002513B4" w:rsidRDefault="00FD5732">
            <w:pPr>
              <w:rPr>
                <w:sz w:val="20"/>
                <w:szCs w:val="20"/>
              </w:rPr>
            </w:pPr>
            <w:r w:rsidRPr="002513B4">
              <w:rPr>
                <w:sz w:val="20"/>
                <w:szCs w:val="20"/>
              </w:rPr>
              <w:t>20</w:t>
            </w:r>
          </w:p>
        </w:tc>
        <w:tc>
          <w:tcPr>
            <w:tcW w:w="1885" w:type="dxa"/>
          </w:tcPr>
          <w:p w14:paraId="0B7FB269" w14:textId="14B4D5F1"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Sampling Quality Control Procedures</w:t>
            </w:r>
          </w:p>
        </w:tc>
        <w:tc>
          <w:tcPr>
            <w:tcW w:w="2610" w:type="dxa"/>
          </w:tcPr>
          <w:p w14:paraId="3CEC0B9C" w14:textId="7022DCBA"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It is acceptable for HHAs not to provide </w:t>
            </w:r>
            <w:proofErr w:type="gramStart"/>
            <w:r w:rsidRPr="002513B4">
              <w:rPr>
                <w:sz w:val="20"/>
                <w:szCs w:val="20"/>
              </w:rPr>
              <w:t>all of</w:t>
            </w:r>
            <w:proofErr w:type="gramEnd"/>
            <w:r w:rsidRPr="002513B4">
              <w:rPr>
                <w:sz w:val="20"/>
                <w:szCs w:val="20"/>
              </w:rPr>
              <w:t xml:space="preserve"> the patient information required for administering the survey and for data analysis.</w:t>
            </w:r>
          </w:p>
        </w:tc>
        <w:tc>
          <w:tcPr>
            <w:tcW w:w="4595" w:type="dxa"/>
          </w:tcPr>
          <w:p w14:paraId="4686329E" w14:textId="77AB9361"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HHAs vary in the completeness of the patient information that they include on the monthly patient information files they submit to their HHCAHPS Survey vendor. HHAs are encouraged to provide complete information for all patients included on each monthly patient information file. Providing as much patient data as possible will increase the potential for an HHA’s patients’ characteristics to contribute to the calculation of the patient-mix adjustment factors that will be used in calculating an HHA’s adjusted HHCAHPS Survey scores that will be publicly reported.</w:t>
            </w:r>
          </w:p>
        </w:tc>
      </w:tr>
      <w:tr w:rsidR="00FD5732" w:rsidRPr="002513B4" w14:paraId="2F0280E9" w14:textId="77777777" w:rsidTr="00D14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0" w:type="dxa"/>
            <w:shd w:val="clear" w:color="auto" w:fill="D9D9D9"/>
          </w:tcPr>
          <w:p w14:paraId="2745E7B3" w14:textId="38BA4EDE" w:rsidR="00FD5732" w:rsidRPr="002513B4" w:rsidRDefault="00FD5732">
            <w:pPr>
              <w:rPr>
                <w:sz w:val="20"/>
                <w:szCs w:val="20"/>
              </w:rPr>
            </w:pPr>
            <w:r w:rsidRPr="002513B4">
              <w:rPr>
                <w:sz w:val="20"/>
                <w:szCs w:val="20"/>
              </w:rPr>
              <w:t>21</w:t>
            </w:r>
          </w:p>
        </w:tc>
        <w:tc>
          <w:tcPr>
            <w:tcW w:w="1885" w:type="dxa"/>
            <w:shd w:val="clear" w:color="auto" w:fill="D9D9D9"/>
          </w:tcPr>
          <w:p w14:paraId="3FD6971E" w14:textId="1D874EE8"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Sampling Quality Control Procedures</w:t>
            </w:r>
          </w:p>
        </w:tc>
        <w:tc>
          <w:tcPr>
            <w:tcW w:w="2610" w:type="dxa"/>
            <w:shd w:val="clear" w:color="auto" w:fill="D9D9D9"/>
          </w:tcPr>
          <w:p w14:paraId="2670329E" w14:textId="7689B423"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Vendors who have automated the receipt and processing of monthly patient information files and the sample selection process do not need to implement any quality control procedures, since the programs and algorithms used for these processes were fully tested after they were developed.</w:t>
            </w:r>
          </w:p>
        </w:tc>
        <w:tc>
          <w:tcPr>
            <w:tcW w:w="4595" w:type="dxa"/>
            <w:shd w:val="clear" w:color="auto" w:fill="D9D9D9"/>
          </w:tcPr>
          <w:p w14:paraId="39528D46" w14:textId="778F4FF0" w:rsidR="00FD5732" w:rsidRPr="002513B4" w:rsidRDefault="00FD5732" w:rsidP="00FD5732">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All vendors must have in place and implement quality control procedures on the entire sampling process, including receipt and processing of the monthly patient information files and sample selection for each sample month for each HHA client, including vendors who use automated systems or procedures for sampling.</w:t>
            </w:r>
          </w:p>
        </w:tc>
      </w:tr>
      <w:tr w:rsidR="00FD5732" w:rsidRPr="002513B4" w14:paraId="34BC00E9" w14:textId="77777777" w:rsidTr="00D14F94">
        <w:trPr>
          <w:cantSplit/>
        </w:trPr>
        <w:tc>
          <w:tcPr>
            <w:cnfStyle w:val="001000000000" w:firstRow="0" w:lastRow="0" w:firstColumn="1" w:lastColumn="0" w:oddVBand="0" w:evenVBand="0" w:oddHBand="0" w:evenHBand="0" w:firstRowFirstColumn="0" w:firstRowLastColumn="0" w:lastRowFirstColumn="0" w:lastRowLastColumn="0"/>
            <w:tcW w:w="450" w:type="dxa"/>
          </w:tcPr>
          <w:p w14:paraId="5EB09D10" w14:textId="1A8DD875" w:rsidR="00FD5732" w:rsidRPr="002513B4" w:rsidRDefault="00FD5732">
            <w:pPr>
              <w:rPr>
                <w:sz w:val="20"/>
                <w:szCs w:val="20"/>
              </w:rPr>
            </w:pPr>
            <w:r w:rsidRPr="002513B4">
              <w:rPr>
                <w:sz w:val="20"/>
                <w:szCs w:val="20"/>
              </w:rPr>
              <w:t>22</w:t>
            </w:r>
          </w:p>
        </w:tc>
        <w:tc>
          <w:tcPr>
            <w:tcW w:w="1885" w:type="dxa"/>
          </w:tcPr>
          <w:p w14:paraId="54FC468E" w14:textId="77777777" w:rsidR="00FD5732"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Sampling Quality Control Procedures</w:t>
            </w:r>
          </w:p>
          <w:p w14:paraId="3A9D409B" w14:textId="77777777" w:rsidR="006E23DC" w:rsidRPr="006E23DC" w:rsidRDefault="006E23DC" w:rsidP="006E23DC">
            <w:pPr>
              <w:cnfStyle w:val="000000000000" w:firstRow="0" w:lastRow="0" w:firstColumn="0" w:lastColumn="0" w:oddVBand="0" w:evenVBand="0" w:oddHBand="0" w:evenHBand="0" w:firstRowFirstColumn="0" w:firstRowLastColumn="0" w:lastRowFirstColumn="0" w:lastRowLastColumn="0"/>
            </w:pPr>
          </w:p>
          <w:p w14:paraId="38864F52" w14:textId="33B9D2AB" w:rsidR="006E23DC" w:rsidRPr="006E23DC" w:rsidRDefault="006E23DC" w:rsidP="006E23DC">
            <w:pPr>
              <w:ind w:firstLine="720"/>
              <w:cnfStyle w:val="000000000000" w:firstRow="0" w:lastRow="0" w:firstColumn="0" w:lastColumn="0" w:oddVBand="0" w:evenVBand="0" w:oddHBand="0" w:evenHBand="0" w:firstRowFirstColumn="0" w:firstRowLastColumn="0" w:lastRowFirstColumn="0" w:lastRowLastColumn="0"/>
            </w:pPr>
          </w:p>
        </w:tc>
        <w:tc>
          <w:tcPr>
            <w:tcW w:w="2610" w:type="dxa"/>
          </w:tcPr>
          <w:p w14:paraId="139DD4D5" w14:textId="789DEF30"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It is acceptable for vendors to use the same staff who conduct the sampling process to also conduct quality control checks of the sample.</w:t>
            </w:r>
          </w:p>
        </w:tc>
        <w:tc>
          <w:tcPr>
            <w:tcW w:w="4595" w:type="dxa"/>
          </w:tcPr>
          <w:p w14:paraId="28FAB344" w14:textId="77737456" w:rsidR="00FD5732" w:rsidRPr="002513B4" w:rsidRDefault="00FD5732" w:rsidP="00FD5732">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The quality control of each sample file should be performed by someone other than the person who performed each task associated with the sample selection process. Vendors are also encouraged to apply appropriate quality control checks on and test </w:t>
            </w:r>
            <w:proofErr w:type="gramStart"/>
            <w:r w:rsidRPr="002513B4">
              <w:rPr>
                <w:sz w:val="20"/>
                <w:szCs w:val="20"/>
              </w:rPr>
              <w:t>all of</w:t>
            </w:r>
            <w:proofErr w:type="gramEnd"/>
            <w:r w:rsidRPr="002513B4">
              <w:rPr>
                <w:sz w:val="20"/>
                <w:szCs w:val="20"/>
              </w:rPr>
              <w:t xml:space="preserve"> the computer programs and systems the vendor uses to receive and process monthly files.</w:t>
            </w:r>
          </w:p>
        </w:tc>
      </w:tr>
    </w:tbl>
    <w:p w14:paraId="3D403D6A" w14:textId="77777777" w:rsidR="006E23DC" w:rsidRDefault="006E23DC" w:rsidP="00EE74F9">
      <w:pPr>
        <w:pStyle w:val="Heading2"/>
        <w:rPr>
          <w:lang w:val="en-US"/>
        </w:rPr>
        <w:sectPr w:rsidR="006E23DC" w:rsidSect="00C85F17">
          <w:headerReference w:type="even" r:id="rId71"/>
          <w:headerReference w:type="default" r:id="rId72"/>
          <w:footerReference w:type="even" r:id="rId73"/>
          <w:footerReference w:type="default" r:id="rId74"/>
          <w:headerReference w:type="first" r:id="rId75"/>
          <w:footerReference w:type="first" r:id="rId76"/>
          <w:pgSz w:w="12240" w:h="15840" w:code="1"/>
          <w:pgMar w:top="1440" w:right="1440" w:bottom="1440" w:left="1440" w:header="720" w:footer="720" w:gutter="0"/>
          <w:cols w:space="720"/>
          <w:titlePg/>
        </w:sectPr>
      </w:pPr>
      <w:bookmarkStart w:id="145" w:name="_Toc224984411"/>
      <w:bookmarkStart w:id="146" w:name="_Toc343765402"/>
      <w:bookmarkStart w:id="147" w:name="_Toc402776474"/>
      <w:bookmarkStart w:id="148" w:name="_Toc217305577"/>
    </w:p>
    <w:p w14:paraId="1A1078D8" w14:textId="46BE7F88" w:rsidR="00EE74F9" w:rsidRPr="002513B4" w:rsidRDefault="009F27F5" w:rsidP="00EE74F9">
      <w:pPr>
        <w:pStyle w:val="Heading2"/>
        <w:rPr>
          <w:lang w:val="en-US"/>
        </w:rPr>
      </w:pPr>
      <w:r w:rsidRPr="002513B4">
        <w:rPr>
          <w:lang w:val="en-US"/>
        </w:rPr>
        <w:lastRenderedPageBreak/>
        <w:t>Chapter</w:t>
      </w:r>
      <w:r w:rsidR="0034388C" w:rsidRPr="002513B4">
        <w:rPr>
          <w:lang w:val="en-US"/>
        </w:rPr>
        <w:t xml:space="preserve"> 5:</w:t>
      </w:r>
      <w:r w:rsidR="00EE74F9" w:rsidRPr="002513B4">
        <w:rPr>
          <w:lang w:val="en-US"/>
        </w:rPr>
        <w:t xml:space="preserve"> Mail-Only Administration Procedures</w:t>
      </w:r>
      <w:bookmarkEnd w:id="145"/>
      <w:bookmarkEnd w:id="146"/>
      <w:bookmarkEnd w:id="147"/>
      <w:bookmarkEnd w:id="148"/>
    </w:p>
    <w:p w14:paraId="04F8B869" w14:textId="7CCE089F" w:rsidR="00EE74F9" w:rsidRPr="002513B4" w:rsidRDefault="0034388C" w:rsidP="00EE74F9">
      <w:pPr>
        <w:pStyle w:val="Heading3"/>
        <w:rPr>
          <w:lang w:val="en-US"/>
        </w:rPr>
      </w:pPr>
      <w:bookmarkStart w:id="149" w:name="_Toc251318140"/>
      <w:bookmarkStart w:id="150" w:name="_Toc407633063"/>
      <w:bookmarkStart w:id="151" w:name="_Toc24713341"/>
      <w:bookmarkStart w:id="152" w:name="_Toc217305578"/>
      <w:r w:rsidRPr="002513B4">
        <w:rPr>
          <w:lang w:val="en-US"/>
        </w:rPr>
        <w:t>5.1</w:t>
      </w:r>
      <w:r w:rsidRPr="002513B4">
        <w:rPr>
          <w:lang w:val="en-US"/>
        </w:rPr>
        <w:tab/>
      </w:r>
      <w:r w:rsidR="00EE74F9" w:rsidRPr="002513B4">
        <w:rPr>
          <w:lang w:val="en-US"/>
        </w:rPr>
        <w:t>Overview</w:t>
      </w:r>
      <w:bookmarkEnd w:id="149"/>
      <w:bookmarkEnd w:id="150"/>
      <w:bookmarkEnd w:id="151"/>
      <w:bookmarkEnd w:id="152"/>
    </w:p>
    <w:tbl>
      <w:tblPr>
        <w:tblStyle w:val="TableGrid"/>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D14F94" w:rsidRPr="002513B4" w14:paraId="1491B9B6" w14:textId="77777777" w:rsidTr="00B47F55">
        <w:trPr>
          <w:jc w:val="right"/>
        </w:trPr>
        <w:tc>
          <w:tcPr>
            <w:tcW w:w="5035" w:type="dxa"/>
            <w:shd w:val="clear" w:color="auto" w:fill="F79646"/>
          </w:tcPr>
          <w:p w14:paraId="309D1094" w14:textId="47DF1BAF" w:rsidR="00D14F94" w:rsidRPr="002513B4" w:rsidRDefault="0023510E" w:rsidP="00B47F55">
            <w:pPr>
              <w:pStyle w:val="BodyText"/>
              <w:rPr>
                <w:lang w:val="en-US"/>
              </w:rPr>
            </w:pPr>
            <w:r>
              <w:rPr>
                <w:lang w:val="en-US"/>
              </w:rPr>
              <w:t> </w:t>
            </w:r>
          </w:p>
        </w:tc>
      </w:tr>
      <w:tr w:rsidR="00D14F94" w:rsidRPr="002513B4" w14:paraId="06FCD896" w14:textId="77777777" w:rsidTr="00B47F55">
        <w:trPr>
          <w:jc w:val="right"/>
        </w:trPr>
        <w:tc>
          <w:tcPr>
            <w:tcW w:w="5035" w:type="dxa"/>
          </w:tcPr>
          <w:p w14:paraId="6D91A1E6" w14:textId="780FD0B9" w:rsidR="00D14F94" w:rsidRPr="002513B4" w:rsidRDefault="00D14F94" w:rsidP="00B47F55">
            <w:pPr>
              <w:rPr>
                <w:i/>
                <w:iCs/>
                <w:caps/>
                <w:color w:val="1F497D"/>
                <w:sz w:val="26"/>
                <w:szCs w:val="26"/>
              </w:rPr>
            </w:pPr>
            <w:r w:rsidRPr="002513B4">
              <w:rPr>
                <w:i/>
                <w:iCs/>
                <w:color w:val="1F497D"/>
              </w:rPr>
              <w:t xml:space="preserve">All references to HHCAHPS Survey instrument and corresponding question numbers in this chapter reflect the revised HHCAHPS Survey instrument CMS plans to roll out with the </w:t>
            </w:r>
            <w:r w:rsidRPr="002513B4">
              <w:rPr>
                <w:b/>
                <w:bCs/>
                <w:i/>
                <w:iCs/>
                <w:color w:val="1F497D"/>
              </w:rPr>
              <w:t>April</w:t>
            </w:r>
            <w:r w:rsidR="001B1C8D" w:rsidRPr="002513B4">
              <w:rPr>
                <w:b/>
                <w:bCs/>
                <w:i/>
                <w:iCs/>
                <w:color w:val="1F497D"/>
              </w:rPr>
              <w:t> </w:t>
            </w:r>
            <w:r w:rsidRPr="002513B4">
              <w:rPr>
                <w:b/>
                <w:bCs/>
                <w:i/>
                <w:iCs/>
                <w:color w:val="1F497D"/>
              </w:rPr>
              <w:t>2026</w:t>
            </w:r>
            <w:r w:rsidRPr="002513B4">
              <w:rPr>
                <w:i/>
                <w:iCs/>
                <w:color w:val="1F497D"/>
              </w:rPr>
              <w:t xml:space="preserve"> sample month.</w:t>
            </w:r>
          </w:p>
        </w:tc>
      </w:tr>
    </w:tbl>
    <w:p w14:paraId="54C741A0" w14:textId="7F41A036" w:rsidR="00EE74F9" w:rsidRPr="002513B4" w:rsidRDefault="00EE74F9" w:rsidP="00EE74F9">
      <w:pPr>
        <w:pStyle w:val="BodyText"/>
        <w:rPr>
          <w:lang w:val="en-US"/>
        </w:rPr>
      </w:pPr>
      <w:r w:rsidRPr="002513B4">
        <w:rPr>
          <w:lang w:val="en-US"/>
        </w:rPr>
        <w:t>This chapter describes the requirements and guidelines for implementing the mail-only mode of survey administration for the HHCAHPS Survey. The chapter begins with a discussion of the mail survey protocol and schedule, followed by a discussion of the requirements for producing all mailing materials, including questionnaires, cover letters, and envelopes. Guidelines on how the questionnaire packages should be mailed and data processing guidelines, including optical scanning and data entry, are provided in this chapter. This chapter also provides suggestions for incorporating quality control activities into the mail-only mode of survey administration. Note that in most cases in this and subsequent chapters of this manual, patients included in the sample are referred to as “sample members,” “sample patients,” or “sampled cases.”</w:t>
      </w:r>
    </w:p>
    <w:p w14:paraId="7B2D7AC7" w14:textId="24302783" w:rsidR="00EE74F9" w:rsidRPr="002513B4" w:rsidRDefault="00231774" w:rsidP="00EE74F9">
      <w:pPr>
        <w:pStyle w:val="Heading3"/>
        <w:rPr>
          <w:lang w:val="en-US"/>
        </w:rPr>
      </w:pPr>
      <w:bookmarkStart w:id="153" w:name="_Toc224984413"/>
      <w:bookmarkStart w:id="154" w:name="_Toc251318141"/>
      <w:bookmarkStart w:id="155" w:name="_Toc407633064"/>
      <w:bookmarkStart w:id="156" w:name="_Toc24713342"/>
      <w:bookmarkStart w:id="157" w:name="_Toc217305579"/>
      <w:r w:rsidRPr="002513B4">
        <w:rPr>
          <w:lang w:val="en-US"/>
        </w:rPr>
        <w:t>5.2</w:t>
      </w:r>
      <w:r w:rsidRPr="002513B4">
        <w:rPr>
          <w:lang w:val="en-US"/>
        </w:rPr>
        <w:tab/>
      </w:r>
      <w:r w:rsidR="00EE74F9" w:rsidRPr="002513B4">
        <w:rPr>
          <w:lang w:val="en-US"/>
        </w:rPr>
        <w:t>Data Collection Schedule</w:t>
      </w:r>
      <w:bookmarkEnd w:id="153"/>
      <w:bookmarkEnd w:id="154"/>
      <w:bookmarkEnd w:id="155"/>
      <w:bookmarkEnd w:id="156"/>
      <w:bookmarkEnd w:id="157"/>
    </w:p>
    <w:p w14:paraId="1ACC1477" w14:textId="77777777" w:rsidR="00EE74F9" w:rsidRPr="002513B4" w:rsidRDefault="00EE74F9" w:rsidP="00EE74F9">
      <w:pPr>
        <w:pStyle w:val="BodyText"/>
        <w:rPr>
          <w:lang w:val="en-US"/>
        </w:rPr>
      </w:pPr>
      <w:r w:rsidRPr="002513B4">
        <w:rPr>
          <w:lang w:val="en-US"/>
        </w:rPr>
        <w:t xml:space="preserve">Data collection for each sample member must be initiated no later than 3 weeks (21 days) after the close of the sample month. The timing of a mail-only administration process is shown in </w:t>
      </w:r>
      <w:r w:rsidRPr="002513B4">
        <w:rPr>
          <w:b/>
          <w:i/>
          <w:lang w:val="en-US"/>
        </w:rPr>
        <w:t>Table 5.1</w:t>
      </w:r>
      <w:r w:rsidRPr="002513B4">
        <w:rPr>
          <w:lang w:val="en-US"/>
        </w:rPr>
        <w:t>.</w:t>
      </w:r>
    </w:p>
    <w:p w14:paraId="2239C990" w14:textId="49D2AEBB" w:rsidR="00EE74F9" w:rsidRPr="002513B4" w:rsidRDefault="00EE74F9" w:rsidP="00EE74F9">
      <w:pPr>
        <w:pStyle w:val="TableCaption"/>
      </w:pPr>
      <w:bookmarkStart w:id="158" w:name="_Toc224984595"/>
      <w:bookmarkStart w:id="159" w:name="_Toc251139828"/>
      <w:bookmarkStart w:id="160" w:name="_Toc314215236"/>
      <w:bookmarkStart w:id="161" w:name="_Toc407633137"/>
      <w:bookmarkStart w:id="162" w:name="_Toc24713423"/>
      <w:bookmarkStart w:id="163" w:name="_Toc217024911"/>
      <w:r w:rsidRPr="002513B4">
        <w:t>Table 5.1</w:t>
      </w:r>
      <w:r w:rsidR="00F66A1E" w:rsidRPr="002513B4">
        <w:t xml:space="preserve"> </w:t>
      </w:r>
      <w:r w:rsidRPr="002513B4">
        <w:t>Mail-Only Administration Schedule and Protocol</w:t>
      </w:r>
      <w:bookmarkEnd w:id="158"/>
      <w:bookmarkEnd w:id="159"/>
      <w:bookmarkEnd w:id="160"/>
      <w:bookmarkEnd w:id="161"/>
      <w:bookmarkEnd w:id="162"/>
      <w:bookmarkEnd w:id="163"/>
    </w:p>
    <w:tbl>
      <w:tblPr>
        <w:tblW w:w="9360" w:type="dxa"/>
        <w:tblLayout w:type="fixed"/>
        <w:tblCellMar>
          <w:left w:w="115" w:type="dxa"/>
          <w:right w:w="115" w:type="dxa"/>
        </w:tblCellMar>
        <w:tblLook w:val="01E0" w:firstRow="1" w:lastRow="1" w:firstColumn="1" w:lastColumn="1" w:noHBand="0" w:noVBand="0"/>
        <w:tblCaption w:val="Mail-Only Administration Schedule"/>
        <w:tblDescription w:val="Table 5-1 lists the activities mail-only vendors must follow to administer the HHCAHPS Survey and the timeframe for each"/>
      </w:tblPr>
      <w:tblGrid>
        <w:gridCol w:w="4680"/>
        <w:gridCol w:w="4680"/>
      </w:tblGrid>
      <w:tr w:rsidR="00EE74F9" w:rsidRPr="002513B4" w14:paraId="53E57A9E" w14:textId="77777777" w:rsidTr="00F66A1E">
        <w:trPr>
          <w:cantSplit/>
          <w:tblHeader/>
        </w:trPr>
        <w:tc>
          <w:tcPr>
            <w:tcW w:w="4680" w:type="dxa"/>
            <w:tcBorders>
              <w:top w:val="single" w:sz="8" w:space="0" w:color="auto"/>
              <w:bottom w:val="single" w:sz="8" w:space="0" w:color="auto"/>
            </w:tcBorders>
            <w:shd w:val="clear" w:color="auto" w:fill="1F497D"/>
            <w:vAlign w:val="bottom"/>
          </w:tcPr>
          <w:p w14:paraId="1DF652DC"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Activity</w:t>
            </w:r>
          </w:p>
        </w:tc>
        <w:tc>
          <w:tcPr>
            <w:tcW w:w="4680" w:type="dxa"/>
            <w:tcBorders>
              <w:top w:val="single" w:sz="8" w:space="0" w:color="auto"/>
              <w:bottom w:val="single" w:sz="8" w:space="0" w:color="auto"/>
            </w:tcBorders>
            <w:shd w:val="clear" w:color="auto" w:fill="1F497D"/>
            <w:vAlign w:val="bottom"/>
          </w:tcPr>
          <w:p w14:paraId="0DD58895"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Timing</w:t>
            </w:r>
          </w:p>
        </w:tc>
      </w:tr>
      <w:tr w:rsidR="00EE74F9" w:rsidRPr="002513B4" w14:paraId="5E6C8F6F" w14:textId="77777777" w:rsidTr="00F66A1E">
        <w:trPr>
          <w:cantSplit/>
        </w:trPr>
        <w:tc>
          <w:tcPr>
            <w:tcW w:w="4680" w:type="dxa"/>
            <w:tcBorders>
              <w:top w:val="single" w:sz="8" w:space="0" w:color="auto"/>
            </w:tcBorders>
          </w:tcPr>
          <w:p w14:paraId="259DEBF9" w14:textId="77777777" w:rsidR="00EE74F9" w:rsidRPr="002513B4" w:rsidRDefault="00EE74F9" w:rsidP="00C553FE">
            <w:pPr>
              <w:pStyle w:val="TableText"/>
              <w:keepNext/>
              <w:rPr>
                <w:sz w:val="18"/>
                <w:szCs w:val="18"/>
              </w:rPr>
            </w:pPr>
            <w:r w:rsidRPr="002513B4">
              <w:rPr>
                <w:sz w:val="18"/>
                <w:szCs w:val="18"/>
              </w:rPr>
              <w:t>Mail initial questionnaire with cover letter to sample members</w:t>
            </w:r>
          </w:p>
        </w:tc>
        <w:tc>
          <w:tcPr>
            <w:tcW w:w="4680" w:type="dxa"/>
            <w:tcBorders>
              <w:top w:val="single" w:sz="8" w:space="0" w:color="auto"/>
            </w:tcBorders>
          </w:tcPr>
          <w:p w14:paraId="36726A80" w14:textId="77777777" w:rsidR="00EE74F9" w:rsidRPr="002513B4" w:rsidRDefault="00EE74F9" w:rsidP="00C553FE">
            <w:pPr>
              <w:pStyle w:val="TableText"/>
              <w:keepNext/>
              <w:rPr>
                <w:sz w:val="18"/>
                <w:szCs w:val="18"/>
              </w:rPr>
            </w:pPr>
            <w:r w:rsidRPr="002513B4">
              <w:rPr>
                <w:sz w:val="18"/>
                <w:szCs w:val="18"/>
              </w:rPr>
              <w:t>No later than 3 weeks (21 days) after the close of the sample month</w:t>
            </w:r>
          </w:p>
        </w:tc>
      </w:tr>
      <w:tr w:rsidR="00EE74F9" w:rsidRPr="002513B4" w14:paraId="745A3516" w14:textId="77777777" w:rsidTr="00F66A1E">
        <w:trPr>
          <w:cantSplit/>
        </w:trPr>
        <w:tc>
          <w:tcPr>
            <w:tcW w:w="4680" w:type="dxa"/>
          </w:tcPr>
          <w:p w14:paraId="05C7747D" w14:textId="77777777" w:rsidR="00EE74F9" w:rsidRPr="002513B4" w:rsidRDefault="00EE74F9" w:rsidP="00C553FE">
            <w:pPr>
              <w:pStyle w:val="TableText"/>
              <w:keepNext/>
              <w:rPr>
                <w:sz w:val="18"/>
                <w:szCs w:val="18"/>
              </w:rPr>
            </w:pPr>
            <w:r w:rsidRPr="002513B4">
              <w:rPr>
                <w:sz w:val="18"/>
                <w:szCs w:val="18"/>
              </w:rPr>
              <w:t>Mail second questionnaire with cover letter to all sample members who do not respond to first questionnaire mailing</w:t>
            </w:r>
          </w:p>
        </w:tc>
        <w:tc>
          <w:tcPr>
            <w:tcW w:w="4680" w:type="dxa"/>
          </w:tcPr>
          <w:p w14:paraId="4FCC86BF" w14:textId="77777777" w:rsidR="00EE74F9" w:rsidRPr="002513B4" w:rsidRDefault="00EE74F9" w:rsidP="00C553FE">
            <w:pPr>
              <w:pStyle w:val="TableText"/>
              <w:keepNext/>
              <w:rPr>
                <w:sz w:val="18"/>
                <w:szCs w:val="18"/>
              </w:rPr>
            </w:pPr>
            <w:r w:rsidRPr="002513B4">
              <w:rPr>
                <w:sz w:val="18"/>
                <w:szCs w:val="18"/>
              </w:rPr>
              <w:t>Approximately 3 weeks (21 days) after the first questionnaire is mailed</w:t>
            </w:r>
          </w:p>
        </w:tc>
      </w:tr>
      <w:tr w:rsidR="00EE74F9" w:rsidRPr="002513B4" w14:paraId="798C251D" w14:textId="77777777" w:rsidTr="00F66A1E">
        <w:trPr>
          <w:cantSplit/>
        </w:trPr>
        <w:tc>
          <w:tcPr>
            <w:tcW w:w="4680" w:type="dxa"/>
          </w:tcPr>
          <w:p w14:paraId="43B375D1" w14:textId="77777777" w:rsidR="00EE74F9" w:rsidRPr="002513B4" w:rsidRDefault="00EE74F9" w:rsidP="00C553FE">
            <w:pPr>
              <w:pStyle w:val="TableText"/>
              <w:keepNext/>
              <w:rPr>
                <w:sz w:val="18"/>
                <w:szCs w:val="18"/>
              </w:rPr>
            </w:pPr>
            <w:r w:rsidRPr="002513B4">
              <w:rPr>
                <w:sz w:val="18"/>
                <w:szCs w:val="18"/>
              </w:rPr>
              <w:t>Complete data collection</w:t>
            </w:r>
          </w:p>
        </w:tc>
        <w:tc>
          <w:tcPr>
            <w:tcW w:w="4680" w:type="dxa"/>
          </w:tcPr>
          <w:p w14:paraId="56BBB142" w14:textId="77777777" w:rsidR="00EE74F9" w:rsidRPr="002513B4" w:rsidRDefault="00EE74F9" w:rsidP="00C553FE">
            <w:pPr>
              <w:pStyle w:val="TableText"/>
              <w:keepNext/>
              <w:rPr>
                <w:sz w:val="18"/>
                <w:szCs w:val="18"/>
              </w:rPr>
            </w:pPr>
            <w:r w:rsidRPr="002513B4">
              <w:rPr>
                <w:sz w:val="18"/>
                <w:szCs w:val="18"/>
              </w:rPr>
              <w:t>Six weeks (42 days) after the first questionnaire is mailed</w:t>
            </w:r>
          </w:p>
        </w:tc>
      </w:tr>
      <w:tr w:rsidR="00EE74F9" w:rsidRPr="002513B4" w14:paraId="5A4490B9" w14:textId="77777777" w:rsidTr="00F66A1E">
        <w:trPr>
          <w:cantSplit/>
        </w:trPr>
        <w:tc>
          <w:tcPr>
            <w:tcW w:w="4680" w:type="dxa"/>
            <w:tcBorders>
              <w:bottom w:val="single" w:sz="8" w:space="0" w:color="auto"/>
            </w:tcBorders>
          </w:tcPr>
          <w:p w14:paraId="1078B835" w14:textId="77777777" w:rsidR="00EE74F9" w:rsidRPr="002513B4" w:rsidRDefault="00EE74F9" w:rsidP="00C553FE">
            <w:pPr>
              <w:pStyle w:val="TableText"/>
              <w:rPr>
                <w:sz w:val="18"/>
                <w:szCs w:val="18"/>
              </w:rPr>
            </w:pPr>
            <w:r w:rsidRPr="002513B4">
              <w:rPr>
                <w:sz w:val="18"/>
                <w:szCs w:val="18"/>
              </w:rPr>
              <w:t xml:space="preserve">Submit </w:t>
            </w:r>
            <w:r w:rsidR="00D818AA" w:rsidRPr="002513B4">
              <w:rPr>
                <w:sz w:val="18"/>
                <w:szCs w:val="18"/>
              </w:rPr>
              <w:t xml:space="preserve">XML </w:t>
            </w:r>
            <w:r w:rsidRPr="002513B4">
              <w:rPr>
                <w:sz w:val="18"/>
                <w:szCs w:val="18"/>
              </w:rPr>
              <w:t xml:space="preserve">data files to the </w:t>
            </w:r>
            <w:r w:rsidR="00813A17" w:rsidRPr="002513B4">
              <w:rPr>
                <w:sz w:val="18"/>
                <w:szCs w:val="18"/>
              </w:rPr>
              <w:t>HHCAHPS Survey Data Center</w:t>
            </w:r>
            <w:r w:rsidRPr="002513B4">
              <w:rPr>
                <w:sz w:val="18"/>
                <w:szCs w:val="18"/>
              </w:rPr>
              <w:t xml:space="preserve"> via the HHCAHPS Survey website</w:t>
            </w:r>
          </w:p>
        </w:tc>
        <w:tc>
          <w:tcPr>
            <w:tcW w:w="4680" w:type="dxa"/>
            <w:tcBorders>
              <w:bottom w:val="single" w:sz="8" w:space="0" w:color="auto"/>
            </w:tcBorders>
          </w:tcPr>
          <w:p w14:paraId="023F87AC" w14:textId="77777777" w:rsidR="00EE74F9" w:rsidRPr="002513B4" w:rsidRDefault="00EE74F9" w:rsidP="00C553FE">
            <w:pPr>
              <w:pStyle w:val="TableText"/>
              <w:rPr>
                <w:sz w:val="18"/>
                <w:szCs w:val="18"/>
              </w:rPr>
            </w:pPr>
            <w:r w:rsidRPr="002513B4">
              <w:rPr>
                <w:sz w:val="18"/>
                <w:szCs w:val="18"/>
              </w:rPr>
              <w:t>See the quarterly data submission deadlines on the HHCAHPS Survey website</w:t>
            </w:r>
          </w:p>
        </w:tc>
      </w:tr>
    </w:tbl>
    <w:p w14:paraId="1370EEBE" w14:textId="77777777" w:rsidR="00EE74F9" w:rsidRPr="002513B4" w:rsidRDefault="00EE74F9" w:rsidP="00EE74F9">
      <w:pPr>
        <w:pStyle w:val="Source"/>
        <w:rPr>
          <w:lang w:val="en-US"/>
        </w:rPr>
      </w:pPr>
    </w:p>
    <w:p w14:paraId="6E8397DB" w14:textId="77777777" w:rsidR="00EE74F9" w:rsidRPr="002513B4" w:rsidRDefault="00EE74F9" w:rsidP="00EE74F9">
      <w:pPr>
        <w:pStyle w:val="BodyText"/>
        <w:rPr>
          <w:lang w:val="en-US"/>
        </w:rPr>
      </w:pPr>
      <w:r w:rsidRPr="002513B4">
        <w:rPr>
          <w:lang w:val="en-US"/>
        </w:rPr>
        <w:t xml:space="preserve">If the 21st day of the month falls on a weekend or holiday, vendors should make every attempt to begin the survey on the business day prior to that weekend or holiday. However, </w:t>
      </w:r>
      <w:r w:rsidRPr="002513B4">
        <w:rPr>
          <w:lang w:val="en-US"/>
        </w:rPr>
        <w:lastRenderedPageBreak/>
        <w:t>it is acceptable to mail the questionnaire on the first business day following the weekend or holiday if necessary.</w:t>
      </w:r>
    </w:p>
    <w:p w14:paraId="4965AC89" w14:textId="7D3B92F2" w:rsidR="00EE74F9" w:rsidRPr="002513B4" w:rsidRDefault="00EE74F9" w:rsidP="00EE74F9">
      <w:pPr>
        <w:pStyle w:val="BodyText"/>
        <w:rPr>
          <w:lang w:val="en-US"/>
        </w:rPr>
      </w:pPr>
      <w:r w:rsidRPr="002513B4">
        <w:rPr>
          <w:lang w:val="en-US"/>
        </w:rPr>
        <w:t xml:space="preserve">As indicated in </w:t>
      </w:r>
      <w:r w:rsidRPr="002513B4">
        <w:rPr>
          <w:b/>
          <w:i/>
          <w:lang w:val="en-US"/>
        </w:rPr>
        <w:t>Chapter </w:t>
      </w:r>
      <w:r w:rsidR="00DE5CA1" w:rsidRPr="002513B4">
        <w:rPr>
          <w:b/>
          <w:i/>
          <w:lang w:val="en-US"/>
        </w:rPr>
        <w:t>4</w:t>
      </w:r>
      <w:r w:rsidRPr="002513B4">
        <w:rPr>
          <w:lang w:val="en-US"/>
        </w:rPr>
        <w:t xml:space="preserve">, HHCAHPS Survey vendors must make a concerted effort to initiate the survey for each sample month within 21 days after the sample month ends. If for some reason the survey cannot be initiated within 21 days after the sample month ends, the vendor can initiate the survey within 26 days after the sample month ends. Vendors must complete and submit a Discrepancy Notification Report if the survey is initiated </w:t>
      </w:r>
      <w:r w:rsidR="00653592" w:rsidRPr="002513B4">
        <w:rPr>
          <w:lang w:val="en-US"/>
        </w:rPr>
        <w:t xml:space="preserve">between </w:t>
      </w:r>
      <w:r w:rsidR="009A27A0" w:rsidRPr="002513B4">
        <w:rPr>
          <w:lang w:val="en-US"/>
        </w:rPr>
        <w:t xml:space="preserve">22 and </w:t>
      </w:r>
      <w:r w:rsidRPr="002513B4">
        <w:rPr>
          <w:lang w:val="en-US"/>
        </w:rPr>
        <w:t>26 days after the sample month closes. If the survey cannot be initiated within 26 days after the close of the sample month, CMS may allow the survey to be initiated more than 26 days after the sample month ended. However, survey vendors must submit a request via email</w:t>
      </w:r>
      <w:r w:rsidR="00813A17" w:rsidRPr="002513B4">
        <w:rPr>
          <w:lang w:val="en-US"/>
        </w:rPr>
        <w:t xml:space="preserve"> (to </w:t>
      </w:r>
      <w:hyperlink r:id="rId77" w:history="1">
        <w:r w:rsidR="00813A17" w:rsidRPr="002513B4">
          <w:rPr>
            <w:rStyle w:val="Hyperlink"/>
            <w:lang w:val="en-US"/>
          </w:rPr>
          <w:t>hhcahps@rti.org</w:t>
        </w:r>
      </w:hyperlink>
      <w:r w:rsidR="00813A17" w:rsidRPr="002513B4">
        <w:rPr>
          <w:lang w:val="en-US"/>
        </w:rPr>
        <w:t>)</w:t>
      </w:r>
      <w:r w:rsidRPr="002513B4">
        <w:rPr>
          <w:lang w:val="en-US"/>
        </w:rPr>
        <w:t xml:space="preserve"> for approval from CMS to initiate the survey more than 26 days after the sample month ends.</w:t>
      </w:r>
    </w:p>
    <w:p w14:paraId="5C98E6E6" w14:textId="77777777" w:rsidR="00F23435" w:rsidRPr="002513B4" w:rsidRDefault="00F23435" w:rsidP="00EE74F9">
      <w:pPr>
        <w:pStyle w:val="BodyText"/>
        <w:rPr>
          <w:rFonts w:ascii="Arial Bold" w:hAnsi="Arial Bold" w:hint="eastAsia"/>
          <w:lang w:val="en-US"/>
        </w:rPr>
      </w:pPr>
      <w:r w:rsidRPr="002513B4">
        <w:rPr>
          <w:lang w:val="en-US"/>
        </w:rPr>
        <w:t xml:space="preserve">As noted in </w:t>
      </w:r>
      <w:r w:rsidRPr="002513B4">
        <w:rPr>
          <w:b/>
          <w:bCs/>
          <w:i/>
          <w:iCs/>
          <w:lang w:val="en-US"/>
        </w:rPr>
        <w:t>Table 5.1</w:t>
      </w:r>
      <w:r w:rsidRPr="002513B4">
        <w:rPr>
          <w:lang w:val="en-US"/>
        </w:rPr>
        <w:t>, data collection must be closed 6 weeks (42 calendar days) after the first questionnaire is mailed. Questionnaires returned after the 6-week data collection period has ended should be considered nonresponses and coded as such. Note as well that the deadline for quarterly data submission is constant. This deadline will not shift later</w:t>
      </w:r>
      <w:r w:rsidR="00D208EF" w:rsidRPr="002513B4">
        <w:rPr>
          <w:lang w:val="en-US"/>
        </w:rPr>
        <w:t xml:space="preserve"> even</w:t>
      </w:r>
      <w:r w:rsidRPr="002513B4">
        <w:rPr>
          <w:lang w:val="en-US"/>
        </w:rPr>
        <w:t xml:space="preserve"> if the vendor starts data collection late.</w:t>
      </w:r>
    </w:p>
    <w:p w14:paraId="70DEEB4E" w14:textId="4206A75D" w:rsidR="00EE74F9" w:rsidRPr="002513B4" w:rsidRDefault="00231774" w:rsidP="00EE74F9">
      <w:pPr>
        <w:pStyle w:val="Heading3"/>
        <w:rPr>
          <w:lang w:val="en-US"/>
        </w:rPr>
      </w:pPr>
      <w:bookmarkStart w:id="164" w:name="_Toc251318142"/>
      <w:bookmarkStart w:id="165" w:name="_Toc407633065"/>
      <w:bookmarkStart w:id="166" w:name="_Toc24713343"/>
      <w:bookmarkStart w:id="167" w:name="_Toc217305580"/>
      <w:r w:rsidRPr="002513B4">
        <w:rPr>
          <w:lang w:val="en-US"/>
        </w:rPr>
        <w:t>5.3</w:t>
      </w:r>
      <w:r w:rsidRPr="002513B4">
        <w:rPr>
          <w:lang w:val="en-US"/>
        </w:rPr>
        <w:tab/>
      </w:r>
      <w:r w:rsidR="00EE74F9" w:rsidRPr="002513B4">
        <w:rPr>
          <w:lang w:val="en-US"/>
        </w:rPr>
        <w:t>Production of Questionnaires, Letters, and Envelopes</w:t>
      </w:r>
      <w:bookmarkEnd w:id="164"/>
      <w:bookmarkEnd w:id="165"/>
      <w:bookmarkEnd w:id="166"/>
      <w:bookmarkEnd w:id="167"/>
    </w:p>
    <w:p w14:paraId="32F602CD" w14:textId="4EAC2059" w:rsidR="00EE74F9" w:rsidRPr="002513B4" w:rsidRDefault="00EE74F9" w:rsidP="00EE74F9">
      <w:pPr>
        <w:pStyle w:val="BodyText"/>
        <w:rPr>
          <w:lang w:val="en-US"/>
        </w:rPr>
      </w:pPr>
      <w:r w:rsidRPr="002513B4">
        <w:rPr>
          <w:lang w:val="en-US"/>
        </w:rPr>
        <w:t>The requirements for producing all materials needed for the mail-only survey packets are described below. Note that the mail survey version of the instrument is available in English, Spanish, Simplified and Traditional Chinese, Russian, Vietnamese, and Armenian. All of these versions of the survey materials</w:t>
      </w:r>
      <w:r w:rsidR="00DE5CA1" w:rsidRPr="002513B4">
        <w:rPr>
          <w:lang w:val="en-US"/>
        </w:rPr>
        <w:t>, including the OMB Disclosure Notice,</w:t>
      </w:r>
      <w:r w:rsidRPr="002513B4">
        <w:rPr>
          <w:lang w:val="en-US"/>
        </w:rPr>
        <w:t xml:space="preserve"> are available on the </w:t>
      </w:r>
      <w:hyperlink r:id="rId78" w:history="1">
        <w:r w:rsidR="00DE5CA1" w:rsidRPr="002513B4">
          <w:rPr>
            <w:rStyle w:val="Hyperlink"/>
            <w:lang w:val="en-US"/>
          </w:rPr>
          <w:t>Survey and Protocols web</w:t>
        </w:r>
        <w:r w:rsidR="00DB4C5C" w:rsidRPr="002513B4">
          <w:rPr>
            <w:rStyle w:val="Hyperlink"/>
            <w:lang w:val="en-US"/>
          </w:rPr>
          <w:t xml:space="preserve"> </w:t>
        </w:r>
        <w:r w:rsidR="00DE5CA1"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2E077FD9" wp14:editId="70C081D1">
            <wp:extent cx="95250" cy="95250"/>
            <wp:effectExtent l="0" t="0" r="0" b="0"/>
            <wp:docPr id="183263767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DE5CA1" w:rsidRPr="002513B4">
        <w:rPr>
          <w:lang w:val="en-US"/>
        </w:rPr>
        <w:t xml:space="preserve"> </w:t>
      </w:r>
      <w:r w:rsidR="005D7899" w:rsidRPr="002513B4">
        <w:rPr>
          <w:lang w:val="en-US"/>
        </w:rPr>
        <w:t xml:space="preserve">of the HHCAHPS website </w:t>
      </w:r>
      <w:r w:rsidR="00DE5CA1" w:rsidRPr="002513B4">
        <w:rPr>
          <w:lang w:val="en-US"/>
        </w:rPr>
        <w:t xml:space="preserve">and linked individually in </w:t>
      </w:r>
      <w:r w:rsidR="00DE5CA1" w:rsidRPr="002513B4">
        <w:rPr>
          <w:b/>
          <w:bCs/>
          <w:i/>
          <w:iCs/>
          <w:lang w:val="en-US"/>
        </w:rPr>
        <w:t>Appendix A</w:t>
      </w:r>
      <w:r w:rsidR="00DE5CA1" w:rsidRPr="002513B4">
        <w:rPr>
          <w:lang w:val="en-US"/>
        </w:rPr>
        <w:t xml:space="preserve">. </w:t>
      </w:r>
      <w:r w:rsidR="00ED78A6" w:rsidRPr="002513B4">
        <w:rPr>
          <w:lang w:val="en-US"/>
        </w:rPr>
        <w:t xml:space="preserve">Both the original and revised HHCAHPS Survey instruments and materials are available on the </w:t>
      </w:r>
      <w:proofErr w:type="gramStart"/>
      <w:r w:rsidR="00ED78A6" w:rsidRPr="002513B4">
        <w:rPr>
          <w:lang w:val="en-US"/>
        </w:rPr>
        <w:t>aforementioned web</w:t>
      </w:r>
      <w:proofErr w:type="gramEnd"/>
      <w:r w:rsidR="00DB4C5C" w:rsidRPr="002513B4">
        <w:rPr>
          <w:lang w:val="en-US"/>
        </w:rPr>
        <w:t xml:space="preserve"> </w:t>
      </w:r>
      <w:r w:rsidR="00ED78A6" w:rsidRPr="002513B4">
        <w:rPr>
          <w:lang w:val="en-US"/>
        </w:rPr>
        <w:t>page via a user-friendly toggle.</w:t>
      </w:r>
      <w:r w:rsidR="00ED78A6" w:rsidRPr="002513B4">
        <w:rPr>
          <w:rStyle w:val="FootnoteReference"/>
          <w:lang w:val="en-US"/>
        </w:rPr>
        <w:footnoteReference w:id="7"/>
      </w:r>
      <w:r w:rsidR="00ED78A6" w:rsidRPr="002513B4">
        <w:rPr>
          <w:lang w:val="en-US"/>
        </w:rPr>
        <w:t xml:space="preserve"> </w:t>
      </w:r>
    </w:p>
    <w:p w14:paraId="56A6111C" w14:textId="2094782D" w:rsidR="00EE74F9" w:rsidRPr="002513B4" w:rsidRDefault="00231774" w:rsidP="00EE74F9">
      <w:pPr>
        <w:pStyle w:val="Heading4"/>
        <w:rPr>
          <w:lang w:val="en-US"/>
        </w:rPr>
      </w:pPr>
      <w:r w:rsidRPr="002513B4">
        <w:rPr>
          <w:lang w:val="en-US"/>
        </w:rPr>
        <w:t>5.3.1</w:t>
      </w:r>
      <w:r w:rsidR="00F55B9D" w:rsidRPr="002513B4">
        <w:rPr>
          <w:lang w:val="en-US"/>
        </w:rPr>
        <w:tab/>
      </w:r>
      <w:r w:rsidR="00717864" w:rsidRPr="002513B4">
        <w:rPr>
          <w:lang w:val="en-US"/>
        </w:rPr>
        <w:t>HH</w:t>
      </w:r>
      <w:r w:rsidR="00EE74F9" w:rsidRPr="002513B4">
        <w:rPr>
          <w:lang w:val="en-US"/>
        </w:rPr>
        <w:t>CAHPS Survey Questionnaire</w:t>
      </w:r>
    </w:p>
    <w:p w14:paraId="3BEB362A" w14:textId="3C61D425" w:rsidR="00EE74F9" w:rsidRPr="002513B4" w:rsidRDefault="00AF18E0" w:rsidP="00EE74F9">
      <w:pPr>
        <w:pStyle w:val="BodyText"/>
        <w:rPr>
          <w:lang w:val="en-US"/>
        </w:rPr>
      </w:pPr>
      <w:r w:rsidRPr="002513B4">
        <w:rPr>
          <w:lang w:val="en-US"/>
        </w:rPr>
        <w:t>Effective with the April 2026 sample month, t</w:t>
      </w:r>
      <w:r w:rsidR="00EE74F9" w:rsidRPr="002513B4">
        <w:rPr>
          <w:lang w:val="en-US"/>
        </w:rPr>
        <w:t xml:space="preserve">he HHCAHPS Survey </w:t>
      </w:r>
      <w:r w:rsidR="00D208EF" w:rsidRPr="002513B4">
        <w:rPr>
          <w:lang w:val="en-US"/>
        </w:rPr>
        <w:t xml:space="preserve">mail mode </w:t>
      </w:r>
      <w:r w:rsidR="00EE74F9" w:rsidRPr="002513B4">
        <w:rPr>
          <w:lang w:val="en-US"/>
        </w:rPr>
        <w:t xml:space="preserve">questionnaire </w:t>
      </w:r>
      <w:r w:rsidR="00D432AB" w:rsidRPr="002513B4">
        <w:rPr>
          <w:lang w:val="en-US"/>
        </w:rPr>
        <w:t xml:space="preserve">will </w:t>
      </w:r>
      <w:r w:rsidR="00EE74F9" w:rsidRPr="002513B4">
        <w:rPr>
          <w:lang w:val="en-US"/>
        </w:rPr>
        <w:t xml:space="preserve">contain </w:t>
      </w:r>
      <w:r w:rsidRPr="002513B4">
        <w:rPr>
          <w:lang w:val="en-US"/>
        </w:rPr>
        <w:t>25</w:t>
      </w:r>
      <w:r w:rsidR="00EE74F9" w:rsidRPr="002513B4">
        <w:rPr>
          <w:lang w:val="en-US"/>
        </w:rPr>
        <w:t xml:space="preserve"> questions. The survey can be administered as a standalone survey or can be combined with agency-specific questions. Questions 1 to </w:t>
      </w:r>
      <w:r w:rsidRPr="002513B4">
        <w:rPr>
          <w:lang w:val="en-US"/>
        </w:rPr>
        <w:t>17</w:t>
      </w:r>
      <w:r w:rsidR="00EE74F9" w:rsidRPr="002513B4">
        <w:rPr>
          <w:lang w:val="en-US"/>
        </w:rPr>
        <w:t xml:space="preserve"> are considered the “core” questions and must be placed at the beginning of the questionnaire. Questions </w:t>
      </w:r>
      <w:r w:rsidRPr="002513B4">
        <w:rPr>
          <w:lang w:val="en-US"/>
        </w:rPr>
        <w:t>18</w:t>
      </w:r>
      <w:r w:rsidR="00EE74F9" w:rsidRPr="002513B4">
        <w:rPr>
          <w:lang w:val="en-US"/>
        </w:rPr>
        <w:t xml:space="preserve"> to </w:t>
      </w:r>
      <w:r w:rsidRPr="002513B4">
        <w:rPr>
          <w:lang w:val="en-US"/>
        </w:rPr>
        <w:t>25</w:t>
      </w:r>
      <w:r w:rsidR="00EE74F9" w:rsidRPr="002513B4">
        <w:rPr>
          <w:lang w:val="en-US"/>
        </w:rPr>
        <w:t xml:space="preserve"> are the “About You” questions and must be administered </w:t>
      </w:r>
      <w:r w:rsidR="00EE74F9" w:rsidRPr="002513B4">
        <w:rPr>
          <w:b/>
          <w:bCs/>
          <w:lang w:val="en-US"/>
        </w:rPr>
        <w:t>as a unit</w:t>
      </w:r>
      <w:r w:rsidR="00EE74F9" w:rsidRPr="002513B4">
        <w:rPr>
          <w:lang w:val="en-US"/>
        </w:rPr>
        <w:t xml:space="preserve">, although they may be placed either before or after any specific or supplemental questions that the home health </w:t>
      </w:r>
      <w:r w:rsidR="00EE74F9" w:rsidRPr="002513B4">
        <w:rPr>
          <w:lang w:val="en-US"/>
        </w:rPr>
        <w:lastRenderedPageBreak/>
        <w:t xml:space="preserve">agency (HHA) plans to add to the HHCAHPS Survey, if any. If no agency-specific questions are to be added to the HHCAHPS Survey questionnaire, the “About You” questions should follow the </w:t>
      </w:r>
      <w:r w:rsidR="002F412C" w:rsidRPr="002513B4">
        <w:rPr>
          <w:lang w:val="en-US"/>
        </w:rPr>
        <w:t>“</w:t>
      </w:r>
      <w:r w:rsidR="00EE74F9" w:rsidRPr="002513B4">
        <w:rPr>
          <w:lang w:val="en-US"/>
        </w:rPr>
        <w:t>core</w:t>
      </w:r>
      <w:r w:rsidR="002F412C" w:rsidRPr="002513B4">
        <w:rPr>
          <w:lang w:val="en-US"/>
        </w:rPr>
        <w:t>”</w:t>
      </w:r>
      <w:r w:rsidR="00EE74F9" w:rsidRPr="002513B4">
        <w:rPr>
          <w:lang w:val="en-US"/>
        </w:rPr>
        <w:t xml:space="preserve"> questions. In addition, 10 </w:t>
      </w:r>
      <w:r w:rsidR="000809BF" w:rsidRPr="002513B4">
        <w:rPr>
          <w:lang w:val="en-US"/>
        </w:rPr>
        <w:t>HH</w:t>
      </w:r>
      <w:r w:rsidR="00EE74F9" w:rsidRPr="002513B4">
        <w:rPr>
          <w:lang w:val="en-US"/>
        </w:rPr>
        <w:t>CAHPS supplemental questions are available for HHAs (and vendors) to use, if an HHA desires</w:t>
      </w:r>
      <w:r w:rsidR="00354B8A" w:rsidRPr="002513B4">
        <w:rPr>
          <w:lang w:val="en-US"/>
        </w:rPr>
        <w:t xml:space="preserve">, </w:t>
      </w:r>
      <w:r w:rsidRPr="002513B4">
        <w:rPr>
          <w:lang w:val="en-US"/>
        </w:rPr>
        <w:t xml:space="preserve">on the </w:t>
      </w:r>
      <w:hyperlink r:id="rId79" w:history="1">
        <w:r w:rsidR="009C77D5" w:rsidRPr="002513B4">
          <w:rPr>
            <w:rStyle w:val="Hyperlink"/>
            <w:lang w:val="en-US"/>
          </w:rPr>
          <w:t>Survey and Protocols web</w:t>
        </w:r>
        <w:r w:rsidR="00DB4C5C" w:rsidRPr="002513B4">
          <w:rPr>
            <w:rStyle w:val="Hyperlink"/>
            <w:lang w:val="en-US"/>
          </w:rPr>
          <w:t xml:space="preserve"> </w:t>
        </w:r>
        <w:r w:rsidR="009C77D5"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3F9DEA6A" wp14:editId="2836BD86">
            <wp:extent cx="95250" cy="95250"/>
            <wp:effectExtent l="0" t="0" r="0" b="0"/>
            <wp:docPr id="15607350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rPr>
          <w:lang w:val="en-US"/>
        </w:rPr>
        <w:t xml:space="preserve"> of the </w:t>
      </w:r>
      <w:r w:rsidRPr="002513B4">
        <w:rPr>
          <w:lang w:val="en-US"/>
        </w:rPr>
        <w:t xml:space="preserve">HHCAHPS website and linked </w:t>
      </w:r>
      <w:r w:rsidR="00354B8A" w:rsidRPr="002513B4">
        <w:rPr>
          <w:lang w:val="en-US"/>
        </w:rPr>
        <w:t xml:space="preserve">in </w:t>
      </w:r>
      <w:r w:rsidR="00354B8A" w:rsidRPr="002513B4">
        <w:rPr>
          <w:b/>
          <w:bCs/>
          <w:i/>
          <w:iCs/>
          <w:lang w:val="en-US"/>
        </w:rPr>
        <w:t xml:space="preserve">Appendix </w:t>
      </w:r>
      <w:r w:rsidRPr="002513B4">
        <w:rPr>
          <w:b/>
          <w:bCs/>
          <w:i/>
          <w:iCs/>
          <w:lang w:val="en-US"/>
        </w:rPr>
        <w:t>A</w:t>
      </w:r>
      <w:r w:rsidR="00EE74F9" w:rsidRPr="002513B4">
        <w:rPr>
          <w:lang w:val="en-US"/>
        </w:rPr>
        <w:t xml:space="preserve">. An HHA can choose to use one or more of these supplemental questions; they do not need to be administered as a group. </w:t>
      </w:r>
    </w:p>
    <w:p w14:paraId="4989CA24" w14:textId="77777777" w:rsidR="00EE74F9" w:rsidRPr="002513B4" w:rsidRDefault="00EE74F9" w:rsidP="00EE74F9">
      <w:pPr>
        <w:pStyle w:val="BodyText"/>
        <w:rPr>
          <w:lang w:val="en-US"/>
        </w:rPr>
      </w:pPr>
      <w:r w:rsidRPr="002513B4">
        <w:rPr>
          <w:lang w:val="en-US"/>
        </w:rPr>
        <w:t xml:space="preserve">The following are formatting and content requirements and recommendations for the HHCAHPS Survey </w:t>
      </w:r>
      <w:r w:rsidR="00D15EE4" w:rsidRPr="002513B4">
        <w:rPr>
          <w:lang w:val="en-US"/>
        </w:rPr>
        <w:t>q</w:t>
      </w:r>
      <w:r w:rsidRPr="002513B4">
        <w:rPr>
          <w:lang w:val="en-US"/>
        </w:rPr>
        <w:t xml:space="preserve">uestionnaire. </w:t>
      </w:r>
      <w:r w:rsidR="00D15EE4" w:rsidRPr="002513B4">
        <w:rPr>
          <w:lang w:val="en-US"/>
        </w:rPr>
        <w:t>S</w:t>
      </w:r>
      <w:r w:rsidRPr="002513B4">
        <w:rPr>
          <w:lang w:val="en-US"/>
        </w:rPr>
        <w:t>urvey vendors cannot deviate from questionnaire requirements.</w:t>
      </w:r>
    </w:p>
    <w:p w14:paraId="461C9B99" w14:textId="0DFBAC04" w:rsidR="00EE74F9" w:rsidRPr="002513B4" w:rsidRDefault="00231774" w:rsidP="00EE74F9">
      <w:pPr>
        <w:pStyle w:val="Heading5"/>
      </w:pPr>
      <w:r w:rsidRPr="002513B4">
        <w:t>5.3.1.1</w:t>
      </w:r>
      <w:r w:rsidR="00F55B9D" w:rsidRPr="002513B4">
        <w:tab/>
      </w:r>
      <w:r w:rsidR="00EE74F9" w:rsidRPr="002513B4">
        <w:t>HHCAHPS Survey Questionnaire Requirements</w:t>
      </w:r>
    </w:p>
    <w:p w14:paraId="528A1239" w14:textId="77777777" w:rsidR="00EE74F9" w:rsidRPr="002513B4" w:rsidRDefault="00EE74F9" w:rsidP="00EE74F9">
      <w:pPr>
        <w:pStyle w:val="ListBullet"/>
      </w:pPr>
      <w:r w:rsidRPr="002513B4">
        <w:t xml:space="preserve">Every questionnaire must begin with the </w:t>
      </w:r>
      <w:r w:rsidR="00D1561A" w:rsidRPr="002513B4">
        <w:t>“</w:t>
      </w:r>
      <w:r w:rsidRPr="002513B4">
        <w:t>core</w:t>
      </w:r>
      <w:r w:rsidR="00D1561A" w:rsidRPr="002513B4">
        <w:t>”</w:t>
      </w:r>
      <w:r w:rsidRPr="002513B4">
        <w:t xml:space="preserve"> HHCAHPS Survey questions.</w:t>
      </w:r>
    </w:p>
    <w:p w14:paraId="15EA0627" w14:textId="77777777" w:rsidR="00EE74F9" w:rsidRPr="002513B4" w:rsidRDefault="00EE74F9" w:rsidP="00EE74F9">
      <w:pPr>
        <w:pStyle w:val="ListBullet"/>
      </w:pPr>
      <w:r w:rsidRPr="002513B4">
        <w:t>HHAs may add their own or the HHCAHPS Survey supplemental questions or open-ended questions, following the guidelines (listed below) about adding supplemental questions.</w:t>
      </w:r>
    </w:p>
    <w:p w14:paraId="4DFAB9CB" w14:textId="77777777" w:rsidR="00EE74F9" w:rsidRPr="002513B4" w:rsidRDefault="00EE74F9" w:rsidP="00EE74F9">
      <w:pPr>
        <w:pStyle w:val="ListBullet"/>
      </w:pPr>
      <w:r w:rsidRPr="002513B4">
        <w:t>The “About You” questions must be administered as a unit (i.e., they must be kept together and may not be split into multiple questions and placed throughout the questionnaire) but may be placed before or after any agency-specific questions.</w:t>
      </w:r>
    </w:p>
    <w:p w14:paraId="26B6805B" w14:textId="77777777" w:rsidR="00EE74F9" w:rsidRPr="002513B4" w:rsidRDefault="00EE74F9" w:rsidP="00EE74F9">
      <w:pPr>
        <w:pStyle w:val="ListBullet"/>
      </w:pPr>
      <w:r w:rsidRPr="002513B4">
        <w:t xml:space="preserve">No changes in wording </w:t>
      </w:r>
      <w:r w:rsidR="008E00D4" w:rsidRPr="002513B4">
        <w:t xml:space="preserve">or order </w:t>
      </w:r>
      <w:r w:rsidRPr="002513B4">
        <w:t>are allowed to either the HHCAHPS Survey questions or to the response (answer) choices.</w:t>
      </w:r>
    </w:p>
    <w:p w14:paraId="4266F435" w14:textId="77777777" w:rsidR="00EE74F9" w:rsidRPr="002513B4" w:rsidRDefault="00EE74F9" w:rsidP="00EE74F9">
      <w:pPr>
        <w:pStyle w:val="ListBullet"/>
      </w:pPr>
      <w:r w:rsidRPr="002513B4">
        <w:t>Questions and associated responses choices may not be split across pages.</w:t>
      </w:r>
    </w:p>
    <w:p w14:paraId="02B3643B" w14:textId="77777777" w:rsidR="00EE74F9" w:rsidRPr="002513B4" w:rsidRDefault="00EE74F9" w:rsidP="00EE74F9">
      <w:pPr>
        <w:pStyle w:val="ListBullet"/>
      </w:pPr>
      <w:r w:rsidRPr="002513B4">
        <w:t>Vendors must be consistent throughout the questionnaire in formatting response options either vertically or horizontally. If a vendor elects to list the response options vertically, this must be done for every question in the questionnaire. Vendors may not format some response options vertically and some horizontally.</w:t>
      </w:r>
    </w:p>
    <w:p w14:paraId="3718F025" w14:textId="2BC6AE8D" w:rsidR="00EE74F9" w:rsidRPr="002513B4" w:rsidRDefault="00EE74F9" w:rsidP="00EE74F9">
      <w:pPr>
        <w:pStyle w:val="ListBullet"/>
      </w:pPr>
      <w:r w:rsidRPr="002513B4">
        <w:t>A unique, randomly generated SID number must be assigned and appear on at least the first page of the survey, for tracking purposes. Additional identifiers are permitted; however, the sample member’s name or other identifying information must not be printed anywhere on the survey.</w:t>
      </w:r>
    </w:p>
    <w:p w14:paraId="52C18493" w14:textId="77777777" w:rsidR="00EE74F9" w:rsidRPr="002513B4" w:rsidRDefault="00EE74F9" w:rsidP="00EE74F9">
      <w:pPr>
        <w:pStyle w:val="ListBullet"/>
      </w:pPr>
      <w:r w:rsidRPr="002513B4">
        <w:t>Only CMS-approved translations of the instrument are permitted; however, if agencies choose to add their own supplemental questions, vendors will be responsible for translating these questions if needed.</w:t>
      </w:r>
    </w:p>
    <w:p w14:paraId="6507D0AB" w14:textId="1815C82D" w:rsidR="00EE74F9" w:rsidRPr="002513B4" w:rsidRDefault="00EE74F9" w:rsidP="00EE74F9">
      <w:pPr>
        <w:pStyle w:val="ListBullet"/>
      </w:pPr>
      <w:bookmarkStart w:id="168" w:name="_Hlk499645498"/>
      <w:r w:rsidRPr="002513B4">
        <w:t xml:space="preserve">The HHA name or logo should appear on the survey or the cover letter but cannot appear on the envelopes (for privacy), unless vendors submit an Exceptions Request Form indicating that they have the agency’s approval to display the name or logo on the envelope and the agency believes there are no </w:t>
      </w:r>
      <w:r w:rsidR="009C07BC" w:rsidRPr="002513B4">
        <w:t>Health Insurance Portability and Accountability Act (</w:t>
      </w:r>
      <w:r w:rsidRPr="002513B4">
        <w:t>HIPAA</w:t>
      </w:r>
      <w:r w:rsidR="009C07BC" w:rsidRPr="002513B4">
        <w:t>)</w:t>
      </w:r>
      <w:r w:rsidRPr="002513B4">
        <w:t xml:space="preserve"> risks.</w:t>
      </w:r>
    </w:p>
    <w:p w14:paraId="77DD2515" w14:textId="47B4D3A3" w:rsidR="00EE74F9" w:rsidRPr="002513B4" w:rsidRDefault="00EE74F9" w:rsidP="00EE74F9">
      <w:pPr>
        <w:pStyle w:val="ListBullet"/>
      </w:pPr>
      <w:r w:rsidRPr="002513B4">
        <w:t xml:space="preserve">Survey vendors cannot include any promotional messages or materials, including indications that either the HHA or the survey vendor has been approved by the </w:t>
      </w:r>
      <w:r w:rsidRPr="002513B4">
        <w:lastRenderedPageBreak/>
        <w:t>Better Business Bureau, on the HHCAHPS cover letter</w:t>
      </w:r>
      <w:r w:rsidR="00FC3778" w:rsidRPr="002513B4">
        <w:t>s</w:t>
      </w:r>
      <w:r w:rsidRPr="002513B4">
        <w:t>, questionnaire, or outgoing or incoming mailing envelopes.</w:t>
      </w:r>
    </w:p>
    <w:bookmarkEnd w:id="168"/>
    <w:p w14:paraId="79E48538" w14:textId="77777777" w:rsidR="00EE74F9" w:rsidRPr="002513B4" w:rsidRDefault="00EE74F9" w:rsidP="00296C1F">
      <w:pPr>
        <w:pStyle w:val="ListBullet"/>
      </w:pPr>
      <w:r w:rsidRPr="002513B4">
        <w:t xml:space="preserve">The vendor’s name and mailing address must be printed at the bottom of the last page of the HHCAHPS Survey </w:t>
      </w:r>
      <w:r w:rsidR="004F1FC0" w:rsidRPr="002513B4">
        <w:t>questionnaire in case</w:t>
      </w:r>
      <w:r w:rsidRPr="002513B4">
        <w:t xml:space="preserve"> the respondent does not use the enclosed business reply envelope.</w:t>
      </w:r>
    </w:p>
    <w:p w14:paraId="4ED7B971" w14:textId="77777777" w:rsidR="00EE74F9" w:rsidRPr="002513B4" w:rsidRDefault="00EE74F9" w:rsidP="00EE74F9">
      <w:pPr>
        <w:pStyle w:val="ListBullet"/>
      </w:pPr>
      <w:r w:rsidRPr="002513B4">
        <w:t>No matrix formatting of the questions is allowed. Matrix formatting means formatting a set of questions as a table, with responses listed across the top of a page and individual questions listed in a column on the left.</w:t>
      </w:r>
    </w:p>
    <w:p w14:paraId="44F206E2" w14:textId="77777777" w:rsidR="00EE74F9" w:rsidRPr="002513B4" w:rsidRDefault="00EE74F9" w:rsidP="00EE74F9">
      <w:pPr>
        <w:pStyle w:val="ListBullet"/>
      </w:pPr>
      <w:r w:rsidRPr="002513B4">
        <w:t>Font size should be no smaller than size 10.</w:t>
      </w:r>
    </w:p>
    <w:p w14:paraId="3263DBC5" w14:textId="76B9679F" w:rsidR="00EE74F9" w:rsidRPr="002513B4" w:rsidRDefault="00EE74F9" w:rsidP="00D432AB">
      <w:pPr>
        <w:pStyle w:val="ListBullet"/>
      </w:pPr>
      <w:r w:rsidRPr="002513B4">
        <w:t xml:space="preserve">The OMB number and expiration date shown </w:t>
      </w:r>
      <w:r w:rsidR="00FC3778" w:rsidRPr="002513B4">
        <w:t xml:space="preserve">on the cover page of the HHCAHPS mail questionnaires </w:t>
      </w:r>
      <w:r w:rsidR="009C77D5" w:rsidRPr="002513B4">
        <w:t xml:space="preserve">available </w:t>
      </w:r>
      <w:r w:rsidR="00FC3778" w:rsidRPr="002513B4">
        <w:t xml:space="preserve">on the </w:t>
      </w:r>
      <w:hyperlink r:id="rId80" w:history="1">
        <w:r w:rsidR="009C77D5" w:rsidRPr="002513B4">
          <w:rPr>
            <w:rStyle w:val="Hyperlink"/>
          </w:rPr>
          <w:t>Survey and Protocols web</w:t>
        </w:r>
        <w:r w:rsidR="00DB4C5C" w:rsidRPr="002513B4">
          <w:rPr>
            <w:rStyle w:val="Hyperlink"/>
          </w:rPr>
          <w:t xml:space="preserve"> </w:t>
        </w:r>
        <w:r w:rsidR="009C77D5" w:rsidRPr="002513B4">
          <w:rPr>
            <w:rStyle w:val="Hyperlink"/>
          </w:rPr>
          <w:t>page</w:t>
        </w:r>
      </w:hyperlink>
      <w:r w:rsidR="009C77D5" w:rsidRPr="002513B4">
        <w:t> </w:t>
      </w:r>
      <w:r w:rsidR="009C77D5" w:rsidRPr="002513B4">
        <w:rPr>
          <w:noProof/>
        </w:rPr>
        <w:drawing>
          <wp:inline distT="0" distB="0" distL="0" distR="0" wp14:anchorId="445B5301" wp14:editId="7E8C1FB5">
            <wp:extent cx="95250" cy="95250"/>
            <wp:effectExtent l="0" t="0" r="0" b="0"/>
            <wp:docPr id="136203911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t xml:space="preserve"> of the </w:t>
      </w:r>
      <w:r w:rsidR="00FC3778" w:rsidRPr="002513B4">
        <w:t xml:space="preserve">HHCAHPS Survey website and linked </w:t>
      </w:r>
      <w:r w:rsidRPr="002513B4">
        <w:t xml:space="preserve">in </w:t>
      </w:r>
      <w:r w:rsidRPr="002513B4">
        <w:rPr>
          <w:b/>
          <w:i/>
        </w:rPr>
        <w:t>Appendix </w:t>
      </w:r>
      <w:r w:rsidR="00FC3778" w:rsidRPr="002513B4">
        <w:rPr>
          <w:b/>
          <w:i/>
        </w:rPr>
        <w:t>A</w:t>
      </w:r>
      <w:r w:rsidRPr="002513B4">
        <w:t xml:space="preserve"> must be printed on the questionnaire cover</w:t>
      </w:r>
      <w:r w:rsidR="005B60DE" w:rsidRPr="002513B4">
        <w:t>, separately from the OMB disclosure notice</w:t>
      </w:r>
      <w:r w:rsidRPr="002513B4">
        <w:t>. If there is no cover, then the OMB number and expiration date must be printed on the first page of the questionnaire.</w:t>
      </w:r>
      <w:r w:rsidR="005B60DE" w:rsidRPr="002513B4">
        <w:t xml:space="preserve"> </w:t>
      </w:r>
      <w:r w:rsidR="00FC3778" w:rsidRPr="002513B4">
        <w:t xml:space="preserve">The OMB disclosure notice is </w:t>
      </w:r>
      <w:r w:rsidR="009C77D5" w:rsidRPr="002513B4">
        <w:t xml:space="preserve">also </w:t>
      </w:r>
      <w:r w:rsidR="00FC3778" w:rsidRPr="002513B4">
        <w:t xml:space="preserve">available in all CMS-approved languages on the </w:t>
      </w:r>
      <w:hyperlink r:id="rId81" w:history="1">
        <w:r w:rsidR="009C77D5" w:rsidRPr="002513B4">
          <w:rPr>
            <w:rStyle w:val="Hyperlink"/>
          </w:rPr>
          <w:t>Survey and Protocols web</w:t>
        </w:r>
        <w:r w:rsidR="00DB4C5C" w:rsidRPr="002513B4">
          <w:rPr>
            <w:rStyle w:val="Hyperlink"/>
          </w:rPr>
          <w:t xml:space="preserve"> </w:t>
        </w:r>
        <w:r w:rsidR="009C77D5" w:rsidRPr="002513B4">
          <w:rPr>
            <w:rStyle w:val="Hyperlink"/>
          </w:rPr>
          <w:t>page</w:t>
        </w:r>
      </w:hyperlink>
      <w:r w:rsidR="009C77D5" w:rsidRPr="002513B4">
        <w:t> </w:t>
      </w:r>
      <w:r w:rsidR="009C77D5" w:rsidRPr="002513B4">
        <w:rPr>
          <w:noProof/>
        </w:rPr>
        <w:drawing>
          <wp:inline distT="0" distB="0" distL="0" distR="0" wp14:anchorId="4559765C" wp14:editId="141E8C5A">
            <wp:extent cx="95250" cy="95250"/>
            <wp:effectExtent l="0" t="0" r="0" b="0"/>
            <wp:docPr id="211405242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t xml:space="preserve"> of the </w:t>
      </w:r>
      <w:r w:rsidR="00FC3778" w:rsidRPr="002513B4">
        <w:t xml:space="preserve">HHCAHPS Survey website and linked in </w:t>
      </w:r>
      <w:r w:rsidR="00FC3778" w:rsidRPr="002513B4">
        <w:rPr>
          <w:b/>
          <w:bCs/>
          <w:i/>
          <w:iCs/>
        </w:rPr>
        <w:t>Appendix A</w:t>
      </w:r>
      <w:r w:rsidR="00FC3778" w:rsidRPr="002513B4">
        <w:t>.</w:t>
      </w:r>
    </w:p>
    <w:p w14:paraId="3BF2E963" w14:textId="20C2AD31" w:rsidR="00EE74F9" w:rsidRPr="002513B4" w:rsidRDefault="00231774" w:rsidP="00EE74F9">
      <w:pPr>
        <w:pStyle w:val="Heading5"/>
      </w:pPr>
      <w:r w:rsidRPr="002513B4">
        <w:t>5.3.1.2</w:t>
      </w:r>
      <w:r w:rsidR="00296C1F" w:rsidRPr="002513B4">
        <w:tab/>
      </w:r>
      <w:r w:rsidR="00EE74F9" w:rsidRPr="002513B4">
        <w:t>Recommendations for Printing the HHCAHPS Survey Questionnaire</w:t>
      </w:r>
    </w:p>
    <w:p w14:paraId="72818C5E" w14:textId="24F0260A" w:rsidR="00D432AB" w:rsidRPr="002513B4" w:rsidRDefault="00D432AB" w:rsidP="00A2712F">
      <w:pPr>
        <w:pStyle w:val="BodyText"/>
      </w:pPr>
      <w:r w:rsidRPr="002513B4">
        <w:t xml:space="preserve">When preparing the HHCAHPS Survey questionnaire for printing, we recommend that </w:t>
      </w:r>
      <w:r w:rsidR="000A2DE3" w:rsidRPr="002513B4">
        <w:t xml:space="preserve">all vendors or their subcontract partners should: </w:t>
      </w:r>
    </w:p>
    <w:p w14:paraId="70F0461E" w14:textId="7E89D35F" w:rsidR="00EE74F9" w:rsidRPr="002513B4" w:rsidRDefault="00D432AB" w:rsidP="00296C1F">
      <w:pPr>
        <w:pStyle w:val="ListBullet"/>
      </w:pPr>
      <w:r w:rsidRPr="002513B4">
        <w:t>U</w:t>
      </w:r>
      <w:r w:rsidR="00EE74F9" w:rsidRPr="002513B4">
        <w:t xml:space="preserve">se </w:t>
      </w:r>
      <w:r w:rsidRPr="002513B4">
        <w:t xml:space="preserve">survey </w:t>
      </w:r>
      <w:r w:rsidR="00EE74F9" w:rsidRPr="002513B4">
        <w:t>best practices when formatting the instrument, such as maximizing the use of white space and using simple fonts like Arial.</w:t>
      </w:r>
    </w:p>
    <w:p w14:paraId="4CBECDDB" w14:textId="77777777" w:rsidR="00EE74F9" w:rsidRPr="002513B4" w:rsidRDefault="00EE74F9" w:rsidP="00296C1F">
      <w:pPr>
        <w:pStyle w:val="ListBullet"/>
      </w:pPr>
      <w:r w:rsidRPr="002513B4">
        <w:t>Use a two-column format.</w:t>
      </w:r>
    </w:p>
    <w:p w14:paraId="4EEC2632" w14:textId="77777777" w:rsidR="00EE74F9" w:rsidRPr="002513B4" w:rsidRDefault="00EE74F9" w:rsidP="00296C1F">
      <w:pPr>
        <w:pStyle w:val="ListBullet"/>
      </w:pPr>
      <w:r w:rsidRPr="002513B4">
        <w:t>Use a font size of 12 or larger.</w:t>
      </w:r>
    </w:p>
    <w:p w14:paraId="54822B9F" w14:textId="29E0D362" w:rsidR="00EE74F9" w:rsidRPr="002513B4" w:rsidRDefault="00EE74F9" w:rsidP="00296C1F">
      <w:pPr>
        <w:pStyle w:val="ListBullet"/>
      </w:pPr>
      <w:r w:rsidRPr="002513B4">
        <w:t xml:space="preserve">If data entry keying is being used as the data entry method, </w:t>
      </w:r>
      <w:r w:rsidR="000A2DE3" w:rsidRPr="002513B4">
        <w:t xml:space="preserve">use </w:t>
      </w:r>
      <w:r w:rsidRPr="002513B4">
        <w:t xml:space="preserve">small coding numbers next to the response choices </w:t>
      </w:r>
      <w:r w:rsidR="000A2DE3" w:rsidRPr="002513B4">
        <w:t>(optional)</w:t>
      </w:r>
      <w:r w:rsidRPr="002513B4">
        <w:t>.</w:t>
      </w:r>
    </w:p>
    <w:p w14:paraId="20D05C57" w14:textId="59F0AE4B" w:rsidR="00EE74F9" w:rsidRPr="002513B4" w:rsidRDefault="00231774" w:rsidP="00EE74F9">
      <w:pPr>
        <w:pStyle w:val="Heading5"/>
      </w:pPr>
      <w:r w:rsidRPr="002513B4">
        <w:t>5.3.1.3</w:t>
      </w:r>
      <w:r w:rsidR="00296C1F" w:rsidRPr="002513B4">
        <w:tab/>
      </w:r>
      <w:r w:rsidR="00EE74F9" w:rsidRPr="002513B4">
        <w:t>Adding Supplemental Questions to the HHCAHPS Survey</w:t>
      </w:r>
    </w:p>
    <w:p w14:paraId="74732675" w14:textId="61BD8D40" w:rsidR="00EE74F9" w:rsidRPr="002513B4" w:rsidRDefault="00EE74F9" w:rsidP="00EE74F9">
      <w:pPr>
        <w:pStyle w:val="BodyText"/>
        <w:rPr>
          <w:lang w:val="en-US"/>
        </w:rPr>
      </w:pPr>
      <w:r w:rsidRPr="002513B4">
        <w:rPr>
          <w:lang w:val="en-US"/>
        </w:rPr>
        <w:t>AHRQ developed 10 supplemental questions about home health care, which are available</w:t>
      </w:r>
      <w:r w:rsidR="00B72953" w:rsidRPr="002513B4">
        <w:rPr>
          <w:lang w:val="en-US"/>
        </w:rPr>
        <w:t xml:space="preserve"> in all CMS-approved languages</w:t>
      </w:r>
      <w:r w:rsidRPr="002513B4">
        <w:rPr>
          <w:lang w:val="en-US"/>
        </w:rPr>
        <w:t xml:space="preserve"> on the </w:t>
      </w:r>
      <w:hyperlink r:id="rId82" w:history="1">
        <w:r w:rsidR="009C77D5" w:rsidRPr="002513B4">
          <w:rPr>
            <w:rStyle w:val="Hyperlink"/>
            <w:lang w:val="en-US"/>
          </w:rPr>
          <w:t>Survey and Protocols web</w:t>
        </w:r>
        <w:r w:rsidR="00DB4C5C" w:rsidRPr="002513B4">
          <w:rPr>
            <w:rStyle w:val="Hyperlink"/>
            <w:lang w:val="en-US"/>
          </w:rPr>
          <w:t xml:space="preserve"> </w:t>
        </w:r>
        <w:r w:rsidR="009C77D5"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56E62D18" wp14:editId="575CDF6A">
            <wp:extent cx="95250" cy="95250"/>
            <wp:effectExtent l="0" t="0" r="0" b="0"/>
            <wp:docPr id="32006678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rPr>
          <w:lang w:val="en-US"/>
        </w:rPr>
        <w:t xml:space="preserve"> of the </w:t>
      </w:r>
      <w:r w:rsidRPr="002513B4">
        <w:rPr>
          <w:lang w:val="en-US"/>
        </w:rPr>
        <w:t>HHCAHPS website</w:t>
      </w:r>
      <w:r w:rsidR="00FC3778" w:rsidRPr="002513B4">
        <w:rPr>
          <w:lang w:val="en-US"/>
        </w:rPr>
        <w:t xml:space="preserve"> and linked in </w:t>
      </w:r>
      <w:r w:rsidR="00FC3778" w:rsidRPr="002513B4">
        <w:rPr>
          <w:b/>
          <w:bCs/>
          <w:i/>
          <w:iCs/>
          <w:lang w:val="en-US"/>
        </w:rPr>
        <w:t>Appendix A.</w:t>
      </w:r>
      <w:r w:rsidRPr="002513B4">
        <w:rPr>
          <w:lang w:val="en-US"/>
        </w:rPr>
        <w:t xml:space="preserve"> HHAs may wish to use these questions or add their own agency-specific questions to the HHCAHPS Survey </w:t>
      </w:r>
      <w:r w:rsidR="00FC12FE" w:rsidRPr="002513B4">
        <w:rPr>
          <w:lang w:val="en-US"/>
        </w:rPr>
        <w:t>q</w:t>
      </w:r>
      <w:r w:rsidRPr="002513B4">
        <w:rPr>
          <w:lang w:val="en-US"/>
        </w:rPr>
        <w:t xml:space="preserve">uestionnaire. In addition, one supplemental question </w:t>
      </w:r>
      <w:r w:rsidRPr="002513B4">
        <w:rPr>
          <w:b/>
          <w:bCs/>
          <w:lang w:val="en-US"/>
        </w:rPr>
        <w:t>must</w:t>
      </w:r>
      <w:r w:rsidRPr="002513B4">
        <w:rPr>
          <w:lang w:val="en-US"/>
        </w:rPr>
        <w:t xml:space="preserve"> be included in the mail survey questionnaire if the HHA wishes to view the survey responses linked to respondents’ name and other identifying information. The survey question, referred to as the Consent to Share Responses, must be printed </w:t>
      </w:r>
      <w:r w:rsidR="00FC3778" w:rsidRPr="002513B4">
        <w:rPr>
          <w:lang w:val="en-US"/>
        </w:rPr>
        <w:t>o</w:t>
      </w:r>
      <w:r w:rsidRPr="002513B4">
        <w:rPr>
          <w:lang w:val="en-US"/>
        </w:rPr>
        <w:t xml:space="preserve">n the mail survey questionnaire, and the respondent must </w:t>
      </w:r>
      <w:r w:rsidR="00865AA2" w:rsidRPr="002513B4">
        <w:rPr>
          <w:lang w:val="en-US"/>
        </w:rPr>
        <w:t xml:space="preserve">mark </w:t>
      </w:r>
      <w:r w:rsidRPr="002513B4">
        <w:rPr>
          <w:lang w:val="en-US"/>
        </w:rPr>
        <w:t xml:space="preserve">the “Yes” response option for the vendor to provide the HHA with the respondent’s answers linked to the respondent’s name </w:t>
      </w:r>
      <w:r w:rsidRPr="002513B4">
        <w:rPr>
          <w:lang w:val="en-US"/>
        </w:rPr>
        <w:lastRenderedPageBreak/>
        <w:t xml:space="preserve">and identifying information. The Consent to Share Responses question is available in all </w:t>
      </w:r>
      <w:r w:rsidR="00FC3778" w:rsidRPr="002513B4">
        <w:rPr>
          <w:lang w:val="en-US"/>
        </w:rPr>
        <w:t xml:space="preserve">CMS-approved </w:t>
      </w:r>
      <w:r w:rsidRPr="002513B4">
        <w:rPr>
          <w:lang w:val="en-US"/>
        </w:rPr>
        <w:t xml:space="preserve">languages on the </w:t>
      </w:r>
      <w:hyperlink r:id="rId83" w:history="1">
        <w:r w:rsidR="009C77D5" w:rsidRPr="002513B4">
          <w:rPr>
            <w:rStyle w:val="Hyperlink"/>
            <w:lang w:val="en-US"/>
          </w:rPr>
          <w:t>Survey and Protocols web</w:t>
        </w:r>
        <w:r w:rsidR="00DB4C5C" w:rsidRPr="002513B4">
          <w:rPr>
            <w:rStyle w:val="Hyperlink"/>
            <w:lang w:val="en-US"/>
          </w:rPr>
          <w:t xml:space="preserve"> </w:t>
        </w:r>
        <w:r w:rsidR="009C77D5"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753D559F" wp14:editId="4D0ABB1C">
            <wp:extent cx="95250" cy="95250"/>
            <wp:effectExtent l="0" t="0" r="0" b="0"/>
            <wp:docPr id="137608304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rPr>
          <w:lang w:val="en-US"/>
        </w:rPr>
        <w:t xml:space="preserve"> of the </w:t>
      </w:r>
      <w:r w:rsidRPr="002513B4">
        <w:rPr>
          <w:lang w:val="en-US"/>
        </w:rPr>
        <w:t>HHCAHPS website.</w:t>
      </w:r>
    </w:p>
    <w:p w14:paraId="009740D5" w14:textId="77777777" w:rsidR="00EE74F9" w:rsidRPr="002513B4" w:rsidRDefault="00EE74F9" w:rsidP="00EE74F9">
      <w:pPr>
        <w:pStyle w:val="BodyText"/>
        <w:rPr>
          <w:lang w:val="en-US"/>
        </w:rPr>
      </w:pPr>
      <w:r w:rsidRPr="002513B4">
        <w:rPr>
          <w:lang w:val="en-US"/>
        </w:rPr>
        <w:t>Guidance for adding supplemental questions and the Consent to Share Responses question is as follows:</w:t>
      </w:r>
    </w:p>
    <w:p w14:paraId="459ED544" w14:textId="5194EF2A" w:rsidR="00EE74F9" w:rsidRPr="002513B4" w:rsidRDefault="00EE74F9" w:rsidP="00EE74F9">
      <w:pPr>
        <w:pStyle w:val="ListBullet"/>
      </w:pPr>
      <w:r w:rsidRPr="002513B4">
        <w:t xml:space="preserve">All supplemental questions must be placed </w:t>
      </w:r>
      <w:r w:rsidRPr="002513B4">
        <w:rPr>
          <w:b/>
        </w:rPr>
        <w:t>after</w:t>
      </w:r>
      <w:r w:rsidRPr="002513B4">
        <w:t xml:space="preserve"> the </w:t>
      </w:r>
      <w:r w:rsidR="007C5D38" w:rsidRPr="002513B4">
        <w:t>core</w:t>
      </w:r>
      <w:r w:rsidRPr="002513B4">
        <w:t xml:space="preserve"> questions. Supplemental questions may be placed either before or after the “About You” questions.</w:t>
      </w:r>
    </w:p>
    <w:p w14:paraId="796859C8" w14:textId="77777777" w:rsidR="00EE74F9" w:rsidRPr="002513B4" w:rsidRDefault="00EE74F9" w:rsidP="00EE74F9">
      <w:pPr>
        <w:pStyle w:val="ListBullet"/>
      </w:pPr>
      <w:r w:rsidRPr="002513B4">
        <w:t>We strongly recommend that agencies</w:t>
      </w:r>
      <w:r w:rsidR="00354B8A" w:rsidRPr="002513B4">
        <w:t xml:space="preserve"> and </w:t>
      </w:r>
      <w:r w:rsidRPr="002513B4">
        <w:t>vendors avoid sensitive questions or lengthy additions, because these will likely reduce expected response.</w:t>
      </w:r>
    </w:p>
    <w:p w14:paraId="33494F49" w14:textId="40930933" w:rsidR="00EE74F9" w:rsidRPr="002513B4" w:rsidRDefault="00EE74F9" w:rsidP="00EE74F9">
      <w:pPr>
        <w:pStyle w:val="ListBullet"/>
      </w:pPr>
      <w:r w:rsidRPr="002513B4">
        <w:t xml:space="preserve">Supplemental questions do not need to be approved by or reported to CMS. However, survey vendors should review the appropriateness of supplemental questions added to the HHCAHPS Survey and share any concerns they have directly with the HHA or the </w:t>
      </w:r>
      <w:r w:rsidR="00F2734F" w:rsidRPr="002513B4">
        <w:t>HHCAHPS Survey Coordination Team</w:t>
      </w:r>
      <w:r w:rsidRPr="002513B4">
        <w:t xml:space="preserve">. Survey vendors must not include responses to the supplemental questions on the </w:t>
      </w:r>
      <w:r w:rsidR="00865AA2" w:rsidRPr="002513B4">
        <w:t xml:space="preserve">XML </w:t>
      </w:r>
      <w:r w:rsidRPr="002513B4">
        <w:t>files that will be submitted to the HHCAHPS Data Center.</w:t>
      </w:r>
    </w:p>
    <w:p w14:paraId="1E73604A" w14:textId="37566BA0" w:rsidR="00EE74F9" w:rsidRPr="002513B4" w:rsidRDefault="00EE74F9" w:rsidP="00EE74F9">
      <w:pPr>
        <w:pStyle w:val="ListBullet"/>
      </w:pPr>
      <w:r w:rsidRPr="002513B4">
        <w:t xml:space="preserve">HHAs cannot add questions that repeat any of the survey items in the HHCAHPS Survey </w:t>
      </w:r>
      <w:r w:rsidR="00B72953" w:rsidRPr="002513B4">
        <w:t>instrument</w:t>
      </w:r>
      <w:r w:rsidRPr="002513B4">
        <w:t>, even if the response scale is different.</w:t>
      </w:r>
    </w:p>
    <w:p w14:paraId="4B41B646" w14:textId="77777777" w:rsidR="00EE74F9" w:rsidRPr="002513B4" w:rsidRDefault="00EE74F9" w:rsidP="00EE74F9">
      <w:pPr>
        <w:pStyle w:val="ListBullet"/>
      </w:pPr>
      <w:r w:rsidRPr="002513B4">
        <w:t>Supplemental questions cannot be used with the intention of marketing or promoting services provided by the HHA or any other organization.</w:t>
      </w:r>
    </w:p>
    <w:p w14:paraId="32FA6888" w14:textId="50E5C121" w:rsidR="00EE74F9" w:rsidRPr="002513B4" w:rsidRDefault="00EE74F9" w:rsidP="00EE74F9">
      <w:pPr>
        <w:pStyle w:val="ListBullet"/>
      </w:pPr>
      <w:r w:rsidRPr="002513B4">
        <w:t>Supplemental questions cannot ask sample patients to identify other individuals who may need home health care services because of privacy and confidentiality issues they raise if personally identifiable information (PII) were shared with the HHA without that person’s knowledge and permission.</w:t>
      </w:r>
    </w:p>
    <w:p w14:paraId="4B88FFB9" w14:textId="096BB3B8" w:rsidR="00EE74F9" w:rsidRPr="002513B4" w:rsidRDefault="00EE74F9" w:rsidP="00EE74F9">
      <w:pPr>
        <w:pStyle w:val="ListBullet"/>
      </w:pPr>
      <w:r w:rsidRPr="002513B4">
        <w:t>Vendors are responsible for translating non-</w:t>
      </w:r>
      <w:r w:rsidR="000809BF" w:rsidRPr="002513B4">
        <w:t>HH</w:t>
      </w:r>
      <w:r w:rsidRPr="002513B4">
        <w:t>CAHPS supplemental questions added to the questionnaire; however, only CMS-approved translations may be used for HHCAHPS Survey questions.</w:t>
      </w:r>
    </w:p>
    <w:p w14:paraId="61C73FA3" w14:textId="03DA3E1D" w:rsidR="00EE74F9" w:rsidRPr="002513B4" w:rsidRDefault="00EE74F9" w:rsidP="00EE74F9">
      <w:pPr>
        <w:pStyle w:val="ListBullet"/>
      </w:pPr>
      <w:r w:rsidRPr="002513B4">
        <w:t>The Consent to Share Responses question must be added to all questionnaires where an HHA requests that the survey vendor provide the survey responses linked to a sample member’s name and other identifying information. This question is typically placed at the end of the questionnaire, as the last question.</w:t>
      </w:r>
    </w:p>
    <w:p w14:paraId="7DCFFFF9" w14:textId="577A69A8" w:rsidR="00DC3C2B" w:rsidRPr="002513B4" w:rsidRDefault="00B077EA" w:rsidP="00EE74F9">
      <w:pPr>
        <w:pStyle w:val="ListBullet"/>
      </w:pPr>
      <w:r w:rsidRPr="002513B4">
        <w:t>NOTE: A home health agency cannot use any comments from the HHCAHPS Survey responses, even if they are anonymous, as testimonials or for marketing purposes.</w:t>
      </w:r>
    </w:p>
    <w:p w14:paraId="33E12B7B" w14:textId="5E6796EB" w:rsidR="00EE74F9" w:rsidRPr="002513B4" w:rsidRDefault="00231774" w:rsidP="00EE74F9">
      <w:pPr>
        <w:pStyle w:val="Heading4"/>
        <w:rPr>
          <w:lang w:val="en-US"/>
        </w:rPr>
      </w:pPr>
      <w:r w:rsidRPr="002513B4">
        <w:rPr>
          <w:lang w:val="en-US"/>
        </w:rPr>
        <w:t xml:space="preserve">5.3.2 </w:t>
      </w:r>
      <w:r w:rsidR="00671097" w:rsidRPr="002513B4">
        <w:rPr>
          <w:lang w:val="en-US"/>
        </w:rPr>
        <w:tab/>
      </w:r>
      <w:r w:rsidR="00EE74F9" w:rsidRPr="002513B4">
        <w:rPr>
          <w:lang w:val="en-US"/>
        </w:rPr>
        <w:t>Mail Survey Cover Letters (First and Second Questionnaire Mailings)</w:t>
      </w:r>
    </w:p>
    <w:p w14:paraId="05E592F5" w14:textId="3FE0B7A7" w:rsidR="009C77D5" w:rsidRPr="002513B4" w:rsidRDefault="00AF6FD7" w:rsidP="00D6787A">
      <w:pPr>
        <w:pStyle w:val="BodyText"/>
        <w:rPr>
          <w:lang w:val="en-US"/>
        </w:rPr>
      </w:pPr>
      <w:r w:rsidRPr="002513B4">
        <w:rPr>
          <w:lang w:val="en-US"/>
        </w:rPr>
        <w:t>The</w:t>
      </w:r>
      <w:r w:rsidR="00EE74F9" w:rsidRPr="002513B4">
        <w:rPr>
          <w:lang w:val="en-US"/>
        </w:rPr>
        <w:t xml:space="preserve"> </w:t>
      </w:r>
      <w:r w:rsidR="00527712" w:rsidRPr="002513B4">
        <w:rPr>
          <w:lang w:val="en-US"/>
        </w:rPr>
        <w:t xml:space="preserve">HHCAHPS mail survey </w:t>
      </w:r>
      <w:r w:rsidR="00EE74F9" w:rsidRPr="002513B4">
        <w:rPr>
          <w:lang w:val="en-US"/>
        </w:rPr>
        <w:t xml:space="preserve">cover letters are </w:t>
      </w:r>
      <w:r w:rsidR="00527712" w:rsidRPr="002513B4">
        <w:rPr>
          <w:lang w:val="en-US"/>
        </w:rPr>
        <w:t xml:space="preserve">available </w:t>
      </w:r>
      <w:r w:rsidR="00611EAE" w:rsidRPr="002513B4">
        <w:rPr>
          <w:lang w:val="en-US"/>
        </w:rPr>
        <w:t xml:space="preserve">on the </w:t>
      </w:r>
      <w:hyperlink r:id="rId84" w:history="1">
        <w:r w:rsidR="009C77D5" w:rsidRPr="002513B4">
          <w:rPr>
            <w:rStyle w:val="Hyperlink"/>
            <w:lang w:val="en-US"/>
          </w:rPr>
          <w:t>Survey and Protocols web</w:t>
        </w:r>
        <w:r w:rsidR="00DB4C5C" w:rsidRPr="002513B4">
          <w:rPr>
            <w:rStyle w:val="Hyperlink"/>
            <w:lang w:val="en-US"/>
          </w:rPr>
          <w:t xml:space="preserve"> </w:t>
        </w:r>
        <w:r w:rsidR="009C77D5"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6D1D2F24" wp14:editId="13A6797B">
            <wp:extent cx="95250" cy="95250"/>
            <wp:effectExtent l="0" t="0" r="0" b="0"/>
            <wp:docPr id="3942838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rPr>
          <w:lang w:val="en-US"/>
        </w:rPr>
        <w:t xml:space="preserve"> of the </w:t>
      </w:r>
      <w:r w:rsidR="00611EAE" w:rsidRPr="002513B4">
        <w:rPr>
          <w:lang w:val="en-US"/>
        </w:rPr>
        <w:t>HHCAHPS website</w:t>
      </w:r>
      <w:r w:rsidR="00527712" w:rsidRPr="002513B4">
        <w:rPr>
          <w:lang w:val="en-US"/>
        </w:rPr>
        <w:t xml:space="preserve"> and linked in </w:t>
      </w:r>
      <w:r w:rsidR="00527712" w:rsidRPr="002513B4">
        <w:rPr>
          <w:b/>
          <w:bCs/>
          <w:i/>
          <w:iCs/>
          <w:lang w:val="en-US"/>
        </w:rPr>
        <w:t>Appendix A</w:t>
      </w:r>
      <w:r w:rsidR="00611EAE" w:rsidRPr="002513B4">
        <w:rPr>
          <w:lang w:val="en-US"/>
        </w:rPr>
        <w:t>.</w:t>
      </w:r>
      <w:r w:rsidR="00EE74F9" w:rsidRPr="002513B4">
        <w:rPr>
          <w:lang w:val="en-US"/>
        </w:rPr>
        <w:t xml:space="preserve"> </w:t>
      </w:r>
      <w:r w:rsidR="00054A50" w:rsidRPr="002513B4">
        <w:rPr>
          <w:lang w:val="en-US"/>
        </w:rPr>
        <w:t xml:space="preserve">Vendors are expected to adhere to the text as provided in the </w:t>
      </w:r>
      <w:r w:rsidR="000A72D3" w:rsidRPr="002513B4">
        <w:rPr>
          <w:lang w:val="en-US"/>
        </w:rPr>
        <w:t xml:space="preserve">HHCAHPS mail survey </w:t>
      </w:r>
      <w:r w:rsidR="00054A50" w:rsidRPr="002513B4">
        <w:rPr>
          <w:lang w:val="en-US"/>
        </w:rPr>
        <w:t>cover letter template</w:t>
      </w:r>
      <w:r w:rsidR="000A72D3" w:rsidRPr="002513B4">
        <w:rPr>
          <w:lang w:val="en-US"/>
        </w:rPr>
        <w:t>s</w:t>
      </w:r>
      <w:r w:rsidR="00054A50" w:rsidRPr="002513B4">
        <w:rPr>
          <w:lang w:val="en-US"/>
        </w:rPr>
        <w:t xml:space="preserve">. Vendors may adjust formatting on the cover letters </w:t>
      </w:r>
      <w:proofErr w:type="gramStart"/>
      <w:r w:rsidR="00054A50" w:rsidRPr="002513B4">
        <w:rPr>
          <w:lang w:val="en-US"/>
        </w:rPr>
        <w:t>as long as</w:t>
      </w:r>
      <w:proofErr w:type="gramEnd"/>
      <w:r w:rsidR="00054A50" w:rsidRPr="002513B4">
        <w:rPr>
          <w:lang w:val="en-US"/>
        </w:rPr>
        <w:t xml:space="preserve"> the changes adhere to the requirements listed below.  If vendors wish to revise the cover letter text or develop their own cover </w:t>
      </w:r>
      <w:r w:rsidR="00054A50" w:rsidRPr="002513B4">
        <w:rPr>
          <w:lang w:val="en-US"/>
        </w:rPr>
        <w:lastRenderedPageBreak/>
        <w:t>letters, they must submit an Exceptions Request Form for CMS review and approval</w:t>
      </w:r>
      <w:r w:rsidR="000A72D3" w:rsidRPr="002513B4">
        <w:rPr>
          <w:lang w:val="en-US"/>
        </w:rPr>
        <w:t xml:space="preserve"> prior to implementation</w:t>
      </w:r>
      <w:r w:rsidR="00054A50" w:rsidRPr="002513B4">
        <w:rPr>
          <w:lang w:val="en-US"/>
        </w:rPr>
        <w:t>.</w:t>
      </w:r>
    </w:p>
    <w:p w14:paraId="2356C3CA" w14:textId="055552F0" w:rsidR="00EE74F9" w:rsidRPr="002513B4" w:rsidRDefault="00231774" w:rsidP="009C77D5">
      <w:pPr>
        <w:pStyle w:val="Heading4"/>
        <w:rPr>
          <w:lang w:val="en-US"/>
        </w:rPr>
      </w:pPr>
      <w:r w:rsidRPr="002513B4">
        <w:rPr>
          <w:lang w:val="en-US"/>
        </w:rPr>
        <w:t>5.3.2.1</w:t>
      </w:r>
      <w:r w:rsidR="00671097" w:rsidRPr="002513B4">
        <w:rPr>
          <w:lang w:val="en-US"/>
        </w:rPr>
        <w:tab/>
      </w:r>
      <w:r w:rsidR="00EE74F9" w:rsidRPr="002513B4">
        <w:rPr>
          <w:lang w:val="en-US"/>
        </w:rPr>
        <w:t>Requirements for Cover Letters</w:t>
      </w:r>
    </w:p>
    <w:p w14:paraId="52A1F1BA" w14:textId="77777777" w:rsidR="00EE74F9" w:rsidRPr="002513B4" w:rsidRDefault="00EE74F9" w:rsidP="00EE74F9">
      <w:pPr>
        <w:pStyle w:val="ListBullet"/>
      </w:pPr>
      <w:r w:rsidRPr="002513B4">
        <w:t>Cover letters must be personalized with the name and address of the sample member.</w:t>
      </w:r>
    </w:p>
    <w:p w14:paraId="29C34224" w14:textId="77777777" w:rsidR="00EE74F9" w:rsidRPr="002513B4" w:rsidRDefault="00EE74F9" w:rsidP="00EE74F9">
      <w:pPr>
        <w:pStyle w:val="ListBullet"/>
      </w:pPr>
      <w:r w:rsidRPr="002513B4">
        <w:t xml:space="preserve">Cover letters must be </w:t>
      </w:r>
      <w:r w:rsidRPr="002513B4">
        <w:rPr>
          <w:b/>
          <w:bCs/>
        </w:rPr>
        <w:t>separate</w:t>
      </w:r>
      <w:r w:rsidRPr="002513B4">
        <w:t xml:space="preserve"> from the questionnaire, so that no PII is returned with the questionnaire when the respondent sends it back to the vendor.</w:t>
      </w:r>
    </w:p>
    <w:p w14:paraId="42CD2330" w14:textId="62E785EB" w:rsidR="00EE74F9" w:rsidRPr="002513B4" w:rsidRDefault="00EE74F9" w:rsidP="00EE74F9">
      <w:pPr>
        <w:pStyle w:val="ListBullet"/>
      </w:pPr>
      <w:r w:rsidRPr="002513B4">
        <w:t xml:space="preserve">The OMB disclosure notice must be printed </w:t>
      </w:r>
      <w:r w:rsidRPr="002513B4">
        <w:rPr>
          <w:i/>
        </w:rPr>
        <w:t>either</w:t>
      </w:r>
      <w:r w:rsidRPr="002513B4">
        <w:t xml:space="preserve"> on the questionnaire or in the cover letter</w:t>
      </w:r>
      <w:r w:rsidR="00527712" w:rsidRPr="002513B4">
        <w:t>s</w:t>
      </w:r>
      <w:r w:rsidRPr="002513B4">
        <w:t>.</w:t>
      </w:r>
    </w:p>
    <w:p w14:paraId="52CBC68C" w14:textId="77777777" w:rsidR="00EE74F9" w:rsidRPr="002513B4" w:rsidRDefault="00EE74F9" w:rsidP="00EE74F9">
      <w:pPr>
        <w:pStyle w:val="ListBullet"/>
      </w:pPr>
      <w:r w:rsidRPr="002513B4">
        <w:t xml:space="preserve">Vendors may </w:t>
      </w:r>
      <w:r w:rsidRPr="002513B4">
        <w:rPr>
          <w:b/>
          <w:bCs/>
        </w:rPr>
        <w:t>not</w:t>
      </w:r>
      <w:r w:rsidRPr="002513B4">
        <w:t xml:space="preserve"> offer sample members the opportunity to complete the survey over the telephone if a mail-only mode is being implemented.</w:t>
      </w:r>
    </w:p>
    <w:p w14:paraId="6E8CC817" w14:textId="77777777" w:rsidR="00EE74F9" w:rsidRPr="002513B4" w:rsidRDefault="00EE74F9" w:rsidP="00EE74F9">
      <w:pPr>
        <w:pStyle w:val="BodyText"/>
        <w:keepNext/>
        <w:rPr>
          <w:lang w:val="en-US"/>
        </w:rPr>
      </w:pPr>
      <w:r w:rsidRPr="002513B4">
        <w:rPr>
          <w:lang w:val="en-US"/>
        </w:rPr>
        <w:t>The following elements must be included in the cover letters</w:t>
      </w:r>
      <w:r w:rsidR="00623520" w:rsidRPr="002513B4">
        <w:rPr>
          <w:lang w:val="en-US"/>
        </w:rPr>
        <w:t xml:space="preserve"> for both the initial and follow-up questionnaire mailings</w:t>
      </w:r>
      <w:r w:rsidRPr="002513B4">
        <w:rPr>
          <w:lang w:val="en-US"/>
        </w:rPr>
        <w:t>:</w:t>
      </w:r>
    </w:p>
    <w:p w14:paraId="29E51564" w14:textId="77777777" w:rsidR="00EE74F9" w:rsidRPr="002513B4" w:rsidRDefault="00EE74F9" w:rsidP="00EE74F9">
      <w:pPr>
        <w:pStyle w:val="ListBullet"/>
      </w:pPr>
      <w:r w:rsidRPr="002513B4">
        <w:t>Language describing the purpose of the survey;</w:t>
      </w:r>
    </w:p>
    <w:p w14:paraId="54725AB2" w14:textId="77777777" w:rsidR="00EE74F9" w:rsidRPr="002513B4" w:rsidRDefault="00EE74F9" w:rsidP="00EE74F9">
      <w:pPr>
        <w:pStyle w:val="ListBullet"/>
      </w:pPr>
      <w:r w:rsidRPr="002513B4">
        <w:t>Language stating that if help is needed, the sample member should ask a family member or friend for help to complete the survey rather than HHA personnel;</w:t>
      </w:r>
    </w:p>
    <w:p w14:paraId="420E2F70" w14:textId="77777777" w:rsidR="00EE74F9" w:rsidRPr="002513B4" w:rsidRDefault="00EE74F9" w:rsidP="00EE74F9">
      <w:pPr>
        <w:pStyle w:val="ListBullet"/>
      </w:pPr>
      <w:r w:rsidRPr="002513B4">
        <w:t>A statement that participation is voluntary;</w:t>
      </w:r>
    </w:p>
    <w:p w14:paraId="353EAE2F" w14:textId="77777777" w:rsidR="00623520" w:rsidRPr="002513B4" w:rsidRDefault="00EE74F9" w:rsidP="00EE74F9">
      <w:pPr>
        <w:pStyle w:val="ListBullet"/>
      </w:pPr>
      <w:r w:rsidRPr="002513B4">
        <w:t xml:space="preserve">The HHA name (or logo); </w:t>
      </w:r>
    </w:p>
    <w:p w14:paraId="40AD1A64" w14:textId="77777777" w:rsidR="00623520" w:rsidRPr="002513B4" w:rsidRDefault="00623520" w:rsidP="00EE74F9">
      <w:pPr>
        <w:pStyle w:val="ListBullet"/>
      </w:pPr>
      <w:r w:rsidRPr="002513B4">
        <w:t>A text box stating</w:t>
      </w:r>
      <w:r w:rsidR="00ED6140" w:rsidRPr="002513B4">
        <w:t>,</w:t>
      </w:r>
      <w:r w:rsidRPr="002513B4">
        <w:t xml:space="preserve"> “We care about your home health care experience” in the initial mail questionnaire cover letter;</w:t>
      </w:r>
    </w:p>
    <w:p w14:paraId="4BDA3596" w14:textId="77777777" w:rsidR="00EE74F9" w:rsidRPr="002513B4" w:rsidRDefault="00623520" w:rsidP="00EE74F9">
      <w:pPr>
        <w:pStyle w:val="ListBullet"/>
      </w:pPr>
      <w:r w:rsidRPr="002513B4">
        <w:t>A text box stating</w:t>
      </w:r>
      <w:r w:rsidR="00ED6140" w:rsidRPr="002513B4">
        <w:t>,</w:t>
      </w:r>
      <w:r w:rsidRPr="002513B4">
        <w:t xml:space="preserve"> “We care about </w:t>
      </w:r>
      <w:r w:rsidRPr="002513B4">
        <w:rPr>
          <w:b/>
          <w:bCs/>
        </w:rPr>
        <w:t>your</w:t>
      </w:r>
      <w:r w:rsidRPr="002513B4">
        <w:t xml:space="preserve"> care experiences” in the follow-up mail questionnaire cover letter; </w:t>
      </w:r>
      <w:r w:rsidR="00EE74F9" w:rsidRPr="002513B4">
        <w:t>and</w:t>
      </w:r>
    </w:p>
    <w:p w14:paraId="0D468B5F" w14:textId="77777777" w:rsidR="007D5573" w:rsidRPr="002513B4" w:rsidRDefault="00EE74F9" w:rsidP="007D5573">
      <w:pPr>
        <w:pStyle w:val="ListBullet"/>
      </w:pPr>
      <w:r w:rsidRPr="002513B4">
        <w:t>A toll-free customer support telephone number, which will be staffed by the survey vendor.</w:t>
      </w:r>
    </w:p>
    <w:p w14:paraId="665D60C0" w14:textId="77777777" w:rsidR="007D5573" w:rsidRPr="002513B4" w:rsidRDefault="007D5573" w:rsidP="00222DDC">
      <w:pPr>
        <w:pStyle w:val="BodyText"/>
        <w:rPr>
          <w:lang w:val="en-US"/>
        </w:rPr>
      </w:pPr>
      <w:r w:rsidRPr="002513B4">
        <w:rPr>
          <w:lang w:val="en-US"/>
        </w:rPr>
        <w:t xml:space="preserve">Vendors that wish to deviate from these cover letter requirements must submit an Exceptions Request Form for CMS’s consideration. </w:t>
      </w:r>
    </w:p>
    <w:p w14:paraId="27558A28" w14:textId="5E3AB7B7" w:rsidR="00EE74F9" w:rsidRPr="002513B4" w:rsidRDefault="00231774" w:rsidP="00EE74F9">
      <w:pPr>
        <w:pStyle w:val="Heading5"/>
      </w:pPr>
      <w:r w:rsidRPr="002513B4">
        <w:t>5.3.2.2</w:t>
      </w:r>
      <w:r w:rsidR="00634CA6">
        <w:tab/>
      </w:r>
      <w:r w:rsidR="00EE74F9" w:rsidRPr="002513B4">
        <w:t>Recommendations for Cover Letters</w:t>
      </w:r>
    </w:p>
    <w:p w14:paraId="17A1E34C" w14:textId="77777777" w:rsidR="00EE74F9" w:rsidRPr="002513B4" w:rsidRDefault="00EE74F9" w:rsidP="00EE74F9">
      <w:pPr>
        <w:pStyle w:val="ListBullet"/>
      </w:pPr>
      <w:r w:rsidRPr="002513B4">
        <w:t>Survey vendors offering a Spanish, Simplified and Traditional Chinese, Russian, Vietnamese, or Armenian version of the questionnaire may add language to the English cover letter indicating that a version of the questionnaire is available in those languages, or vice versa.</w:t>
      </w:r>
    </w:p>
    <w:p w14:paraId="38998804" w14:textId="77777777" w:rsidR="00EE74F9" w:rsidRPr="002513B4" w:rsidRDefault="00EE74F9" w:rsidP="00EE74F9">
      <w:pPr>
        <w:pStyle w:val="ListBullet"/>
      </w:pPr>
      <w:r w:rsidRPr="002513B4">
        <w:t>We recommend that the signature of an appropriate official from the HHA be printed on each cover letter.</w:t>
      </w:r>
    </w:p>
    <w:p w14:paraId="7503DE23" w14:textId="0FF396CE" w:rsidR="00EE74F9" w:rsidRPr="002513B4" w:rsidRDefault="00231774" w:rsidP="00EE74F9">
      <w:pPr>
        <w:pStyle w:val="Heading4"/>
        <w:rPr>
          <w:lang w:val="en-US"/>
        </w:rPr>
      </w:pPr>
      <w:bookmarkStart w:id="169" w:name="_Toc251318143"/>
      <w:bookmarkStart w:id="170" w:name="_Toc407633066"/>
      <w:bookmarkStart w:id="171" w:name="_Hlk24980397"/>
      <w:r w:rsidRPr="002513B4">
        <w:rPr>
          <w:lang w:val="en-US"/>
        </w:rPr>
        <w:lastRenderedPageBreak/>
        <w:t>5.3.3</w:t>
      </w:r>
      <w:r w:rsidR="00671097" w:rsidRPr="002513B4">
        <w:rPr>
          <w:lang w:val="en-US"/>
        </w:rPr>
        <w:tab/>
      </w:r>
      <w:r w:rsidR="00EE74F9" w:rsidRPr="002513B4">
        <w:rPr>
          <w:lang w:val="en-US"/>
        </w:rPr>
        <w:t>Mail Survey Mailing Envelopes</w:t>
      </w:r>
      <w:bookmarkEnd w:id="169"/>
      <w:bookmarkEnd w:id="170"/>
    </w:p>
    <w:p w14:paraId="306DD901" w14:textId="67096222" w:rsidR="00EE74F9" w:rsidRPr="002513B4" w:rsidRDefault="00EE74F9" w:rsidP="00EE74F9">
      <w:pPr>
        <w:pStyle w:val="BodyText"/>
        <w:rPr>
          <w:lang w:val="en-US"/>
        </w:rPr>
      </w:pPr>
      <w:r w:rsidRPr="002513B4">
        <w:rPr>
          <w:lang w:val="en-US"/>
        </w:rPr>
        <w:t xml:space="preserve">Vendors are responsible for supplying both the outgoing envelopes for the questionnaire mailings and </w:t>
      </w:r>
      <w:r w:rsidR="00F2125A" w:rsidRPr="002513B4">
        <w:rPr>
          <w:lang w:val="en-US"/>
        </w:rPr>
        <w:t xml:space="preserve">postage-paid </w:t>
      </w:r>
      <w:r w:rsidRPr="002513B4">
        <w:rPr>
          <w:lang w:val="en-US"/>
        </w:rPr>
        <w:t xml:space="preserve">business reply envelopes that sample members will use to return their completed surveys. </w:t>
      </w:r>
    </w:p>
    <w:p w14:paraId="012AD19C" w14:textId="0BD8D1F9" w:rsidR="00EE74F9" w:rsidRPr="002513B4" w:rsidRDefault="00231774" w:rsidP="00EE74F9">
      <w:pPr>
        <w:pStyle w:val="Heading3"/>
        <w:rPr>
          <w:lang w:val="en-US"/>
        </w:rPr>
      </w:pPr>
      <w:bookmarkStart w:id="172" w:name="_Toc224984415"/>
      <w:bookmarkStart w:id="173" w:name="_Toc251318144"/>
      <w:bookmarkStart w:id="174" w:name="_Toc407633067"/>
      <w:bookmarkStart w:id="175" w:name="_Toc24713344"/>
      <w:bookmarkStart w:id="176" w:name="_Toc217305581"/>
      <w:r w:rsidRPr="002513B4">
        <w:rPr>
          <w:lang w:val="en-US"/>
        </w:rPr>
        <w:t>5.4</w:t>
      </w:r>
      <w:r w:rsidRPr="002513B4">
        <w:rPr>
          <w:lang w:val="en-US"/>
        </w:rPr>
        <w:tab/>
      </w:r>
      <w:r w:rsidR="00EE74F9" w:rsidRPr="002513B4">
        <w:rPr>
          <w:lang w:val="en-US"/>
        </w:rPr>
        <w:t>Survey Mailing Requirements</w:t>
      </w:r>
      <w:bookmarkEnd w:id="172"/>
      <w:bookmarkEnd w:id="173"/>
      <w:bookmarkEnd w:id="174"/>
      <w:bookmarkEnd w:id="175"/>
      <w:bookmarkEnd w:id="176"/>
    </w:p>
    <w:p w14:paraId="62B803C5" w14:textId="77777777" w:rsidR="00EE74F9" w:rsidRPr="002513B4" w:rsidRDefault="00EE74F9" w:rsidP="00EE74F9">
      <w:pPr>
        <w:pStyle w:val="BodyText"/>
        <w:rPr>
          <w:lang w:val="en-US"/>
        </w:rPr>
      </w:pPr>
      <w:r w:rsidRPr="002513B4">
        <w:rPr>
          <w:lang w:val="en-US"/>
        </w:rPr>
        <w:t>Mailing requirements and recommendations for the HHCAHPS</w:t>
      </w:r>
      <w:r w:rsidRPr="002513B4" w:rsidDel="00726466">
        <w:rPr>
          <w:lang w:val="en-US"/>
        </w:rPr>
        <w:t xml:space="preserve"> </w:t>
      </w:r>
      <w:r w:rsidRPr="002513B4">
        <w:rPr>
          <w:lang w:val="en-US"/>
        </w:rPr>
        <w:t xml:space="preserve">Survey </w:t>
      </w:r>
      <w:r w:rsidR="00ED6140" w:rsidRPr="002513B4">
        <w:rPr>
          <w:lang w:val="en-US"/>
        </w:rPr>
        <w:t>q</w:t>
      </w:r>
      <w:r w:rsidRPr="002513B4">
        <w:rPr>
          <w:lang w:val="en-US"/>
        </w:rPr>
        <w:t>uestionnaire mailings are described below. Vendors are expected to follow these requirements to maximize response rates and ensure consistency in how the mail-only mode of administration is implemented.</w:t>
      </w:r>
    </w:p>
    <w:p w14:paraId="48757BF3" w14:textId="383B775D" w:rsidR="00EE74F9" w:rsidRPr="002513B4" w:rsidRDefault="00231774" w:rsidP="00EE74F9">
      <w:pPr>
        <w:pStyle w:val="Heading4"/>
        <w:rPr>
          <w:lang w:val="en-US"/>
        </w:rPr>
      </w:pPr>
      <w:r w:rsidRPr="002513B4">
        <w:rPr>
          <w:lang w:val="en-US"/>
        </w:rPr>
        <w:t>5.4.1</w:t>
      </w:r>
      <w:r w:rsidR="00671097" w:rsidRPr="002513B4">
        <w:rPr>
          <w:lang w:val="en-US"/>
        </w:rPr>
        <w:tab/>
      </w:r>
      <w:r w:rsidR="00EE74F9" w:rsidRPr="002513B4">
        <w:rPr>
          <w:lang w:val="en-US"/>
        </w:rPr>
        <w:t>Mail Survey Mailing Requirements</w:t>
      </w:r>
    </w:p>
    <w:bookmarkEnd w:id="171"/>
    <w:p w14:paraId="5E210758" w14:textId="77777777" w:rsidR="00EE74F9" w:rsidRPr="002513B4" w:rsidRDefault="00EE74F9" w:rsidP="00EE74F9">
      <w:pPr>
        <w:pStyle w:val="ListBullet"/>
      </w:pPr>
      <w:r w:rsidRPr="002513B4">
        <w:t>Each questionnaire mailing must contain a personalized cover letter, questionnaire, and postage-paid business reply envelope.</w:t>
      </w:r>
    </w:p>
    <w:p w14:paraId="3423B4A7" w14:textId="77777777" w:rsidR="00EE74F9" w:rsidRPr="002513B4" w:rsidRDefault="00EE74F9" w:rsidP="00EE74F9">
      <w:pPr>
        <w:pStyle w:val="ListBullet"/>
      </w:pPr>
      <w:r w:rsidRPr="002513B4">
        <w:t>The first questionnaire package must be mailed to all sampled cases, regardless of whether the mailing address is determined to be complete.</w:t>
      </w:r>
    </w:p>
    <w:p w14:paraId="58D643E8" w14:textId="77777777" w:rsidR="00EE74F9" w:rsidRPr="002513B4" w:rsidRDefault="00EE74F9" w:rsidP="00EE74F9">
      <w:pPr>
        <w:pStyle w:val="ListBullet"/>
      </w:pPr>
      <w:r w:rsidRPr="002513B4">
        <w:t>Mailings must follow the schedule specified for the mail-only mode of administration</w:t>
      </w:r>
      <w:r w:rsidR="00D02C7F" w:rsidRPr="002513B4">
        <w:t xml:space="preserve"> in </w:t>
      </w:r>
      <w:r w:rsidR="00D02C7F" w:rsidRPr="002513B4">
        <w:rPr>
          <w:b/>
          <w:bCs/>
          <w:i/>
          <w:iCs/>
        </w:rPr>
        <w:t>Table 5.1</w:t>
      </w:r>
      <w:r w:rsidRPr="002513B4">
        <w:t>—the first questionnaire package must be mailed no later than 3 weeks after the close of the sample month; the second questionnaire to sample members who do not respond to the first questionnaire mailing must be mailed approximately 3 weeks after the first questionnaire mailing.</w:t>
      </w:r>
    </w:p>
    <w:p w14:paraId="2EF801EF" w14:textId="77777777" w:rsidR="00EE74F9" w:rsidRPr="002513B4" w:rsidRDefault="00EE74F9" w:rsidP="00EE74F9">
      <w:pPr>
        <w:pStyle w:val="ListBullet"/>
      </w:pPr>
      <w:r w:rsidRPr="002513B4">
        <w:t>Data collection must end 6 weeks after the first questionnaire has been mailed.</w:t>
      </w:r>
    </w:p>
    <w:p w14:paraId="7B6F01D1" w14:textId="77777777" w:rsidR="00EE74F9" w:rsidRPr="002513B4" w:rsidRDefault="00EE74F9" w:rsidP="00EE74F9">
      <w:pPr>
        <w:pStyle w:val="ListBullet"/>
      </w:pPr>
      <w:r w:rsidRPr="002513B4">
        <w:t>The use of incentives</w:t>
      </w:r>
      <w:r w:rsidR="003611B7" w:rsidRPr="002513B4">
        <w:t>—monetary or nonmonetary—</w:t>
      </w:r>
      <w:r w:rsidRPr="002513B4">
        <w:t>is not permitted.</w:t>
      </w:r>
    </w:p>
    <w:p w14:paraId="6CA5A084" w14:textId="77777777" w:rsidR="0041271A" w:rsidRPr="002513B4" w:rsidRDefault="00EE74F9" w:rsidP="00671097">
      <w:pPr>
        <w:pStyle w:val="ListBullet"/>
        <w:spacing w:after="120"/>
      </w:pPr>
      <w:r w:rsidRPr="002513B4">
        <w:t xml:space="preserve">The use of proxy respondents is permitted. </w:t>
      </w:r>
      <w:r w:rsidR="0041271A" w:rsidRPr="002513B4">
        <w:t xml:space="preserve">Vendors must adhere to the requirements listed below regarding proxies: </w:t>
      </w:r>
    </w:p>
    <w:tbl>
      <w:tblPr>
        <w:tblStyle w:val="TableGrid"/>
        <w:tblpPr w:leftFromText="187" w:rightFromText="187" w:vertAnchor="text" w:tblpXSpec="right" w:tblpY="43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B47F55" w:rsidRPr="002513B4" w14:paraId="118153A2" w14:textId="77777777" w:rsidTr="00B47F55">
        <w:tc>
          <w:tcPr>
            <w:tcW w:w="5035" w:type="dxa"/>
            <w:shd w:val="clear" w:color="auto" w:fill="F79646"/>
          </w:tcPr>
          <w:p w14:paraId="48EEF031" w14:textId="3B04F2B0" w:rsidR="00B47F55" w:rsidRPr="002513B4" w:rsidRDefault="0023510E" w:rsidP="00B47F55">
            <w:pPr>
              <w:pStyle w:val="BodyText"/>
              <w:rPr>
                <w:lang w:val="en-US"/>
              </w:rPr>
            </w:pPr>
            <w:r>
              <w:rPr>
                <w:lang w:val="en-US"/>
              </w:rPr>
              <w:t> </w:t>
            </w:r>
          </w:p>
        </w:tc>
      </w:tr>
      <w:tr w:rsidR="00B47F55" w:rsidRPr="002513B4" w14:paraId="196CF117" w14:textId="77777777" w:rsidTr="00B47F55">
        <w:tc>
          <w:tcPr>
            <w:tcW w:w="5035" w:type="dxa"/>
          </w:tcPr>
          <w:p w14:paraId="29721A70" w14:textId="349CEA54" w:rsidR="00B47F55" w:rsidRPr="002513B4" w:rsidRDefault="00B47F55" w:rsidP="00B47F55">
            <w:pPr>
              <w:rPr>
                <w:i/>
                <w:iCs/>
                <w:caps/>
                <w:color w:val="1F497D"/>
                <w:sz w:val="26"/>
                <w:szCs w:val="26"/>
              </w:rPr>
            </w:pPr>
            <w:r w:rsidRPr="002513B4">
              <w:rPr>
                <w:i/>
                <w:iCs/>
                <w:color w:val="1F497D"/>
              </w:rPr>
              <w:t>CMS strongly recommends that HHCAHPS Survey vendors communicate with their HHA clients about the importance of who can serve as a proxy respondent for patients who are physically or mentally unable to complete the survey, emphasizing that it cannot be staff from the home health agency.</w:t>
            </w:r>
          </w:p>
        </w:tc>
      </w:tr>
    </w:tbl>
    <w:p w14:paraId="290BCFE1" w14:textId="6D874650" w:rsidR="0041271A" w:rsidRPr="002513B4" w:rsidRDefault="00EE74F9" w:rsidP="00A62DD9">
      <w:pPr>
        <w:pStyle w:val="ListBullet2"/>
      </w:pPr>
      <w:r w:rsidRPr="002513B4">
        <w:t xml:space="preserve">Other individuals may assist the sample member in reading the survey, marking response options, translating the survey, or answering questions for the sample member. However, the sample member should be advised in the letter not to ask for help with completing the survey from home health aides or other agency personnel. </w:t>
      </w:r>
    </w:p>
    <w:p w14:paraId="4532C22E" w14:textId="51D9AA35" w:rsidR="00EE74F9" w:rsidRPr="002513B4" w:rsidRDefault="0041271A" w:rsidP="00A62DD9">
      <w:pPr>
        <w:pStyle w:val="ListBullet2"/>
      </w:pPr>
      <w:r w:rsidRPr="002513B4">
        <w:t>P</w:t>
      </w:r>
      <w:r w:rsidR="00EE74F9" w:rsidRPr="002513B4">
        <w:t>roxy respondent</w:t>
      </w:r>
      <w:r w:rsidRPr="002513B4">
        <w:t>s are NOT permitted for deceased sampled members</w:t>
      </w:r>
      <w:r w:rsidR="00EE74F9" w:rsidRPr="002513B4">
        <w:t>.</w:t>
      </w:r>
    </w:p>
    <w:p w14:paraId="47503793" w14:textId="02D67462" w:rsidR="00EE74F9" w:rsidRPr="002513B4" w:rsidRDefault="00EE74F9" w:rsidP="002856FB">
      <w:pPr>
        <w:pStyle w:val="ListBullet2"/>
        <w:spacing w:after="120"/>
      </w:pPr>
      <w:r w:rsidRPr="002513B4">
        <w:t xml:space="preserve">An employee of a group home may serve as a proxy respondent for a sample patient who lives in the group home and who is physically or mentally incapable </w:t>
      </w:r>
      <w:r w:rsidRPr="002513B4">
        <w:lastRenderedPageBreak/>
        <w:t>of responding to the survey. However, the vendor should ensure that the patient is physically or mentally incapable of responding for him- or herself, the proxy respondent is an employee of the group home and not the HHA, and the proxy respondent is knowledgeable about the sample patient’s home health care. Provided these conditions are met, employees of the group home may serve as a proxy for the sample patient.</w:t>
      </w:r>
    </w:p>
    <w:p w14:paraId="6B70EC93" w14:textId="77777777" w:rsidR="00EE74F9" w:rsidRPr="002513B4" w:rsidRDefault="00EE74F9" w:rsidP="00EE74F9">
      <w:pPr>
        <w:pStyle w:val="ListBullet"/>
      </w:pPr>
      <w:r w:rsidRPr="002513B4">
        <w:t>Sample members with foreign addresses are considered eligible to participate in the HHCAHPS Survey if they meet all other eligibility criteria. Vendors should contact the HHA for the address where the home care was provided, but if no such address can be provided, vendors must mail to the foreign address.</w:t>
      </w:r>
    </w:p>
    <w:p w14:paraId="6630AC00" w14:textId="49687FF2" w:rsidR="00EE74F9" w:rsidRPr="002513B4" w:rsidRDefault="00EE74F9" w:rsidP="00EE74F9">
      <w:pPr>
        <w:pStyle w:val="ListBullet"/>
      </w:pPr>
      <w:r w:rsidRPr="002513B4">
        <w:t>If the sample member’s address is missing or incomplete, the vendor must follow up with the HHA to obtain the address</w:t>
      </w:r>
      <w:r w:rsidR="002913DF" w:rsidRPr="002513B4">
        <w:t xml:space="preserve"> </w:t>
      </w:r>
      <w:r w:rsidR="00C10DB5" w:rsidRPr="002513B4">
        <w:t xml:space="preserve">following the requirements for requesting missing or incomplete information as outlined in </w:t>
      </w:r>
      <w:r w:rsidR="00C10DB5" w:rsidRPr="002513B4">
        <w:rPr>
          <w:b/>
          <w:bCs/>
          <w:i/>
          <w:iCs/>
        </w:rPr>
        <w:t>Section 4.7</w:t>
      </w:r>
      <w:r w:rsidR="00C10DB5" w:rsidRPr="002513B4">
        <w:t xml:space="preserve"> above. </w:t>
      </w:r>
      <w:r w:rsidRPr="002513B4">
        <w:t>Because home health patients receive skilled care in their homes, the HHA must have an address at which the care is delivered. If the HHA cannot provide an address and the patient is sampled, the vendor should treat the patient as eligible and assign the applicable final disposition code to the case.</w:t>
      </w:r>
    </w:p>
    <w:p w14:paraId="50207246" w14:textId="6EF43BE1" w:rsidR="003A72D1" w:rsidRPr="002513B4" w:rsidRDefault="003A72D1" w:rsidP="00EE74F9">
      <w:pPr>
        <w:pStyle w:val="ListBullet"/>
      </w:pPr>
      <w:r w:rsidRPr="002513B4">
        <w:t>CMS or the HHCAHPS Survey Coordination team may request to be added to a vendor’s mailing as a seed as an additional oversight measure</w:t>
      </w:r>
      <w:r w:rsidR="004564ED" w:rsidRPr="002513B4">
        <w:t>.</w:t>
      </w:r>
      <w:r w:rsidRPr="002513B4">
        <w:t xml:space="preserve"> The HHCAHPS Survey Coordination team will provide the vendor with a minimum of 30 days’ notice of a seed mailing request to minimize disruption of the vendor’s mailing process.</w:t>
      </w:r>
    </w:p>
    <w:p w14:paraId="74436BB7" w14:textId="581B718B" w:rsidR="00EE74F9" w:rsidRPr="002513B4" w:rsidRDefault="00231774" w:rsidP="00EE74F9">
      <w:pPr>
        <w:pStyle w:val="Heading4"/>
        <w:rPr>
          <w:lang w:val="en-US"/>
        </w:rPr>
      </w:pPr>
      <w:r w:rsidRPr="002513B4">
        <w:rPr>
          <w:lang w:val="en-US"/>
        </w:rPr>
        <w:t>5.4.2</w:t>
      </w:r>
      <w:r w:rsidR="004564ED" w:rsidRPr="002513B4">
        <w:rPr>
          <w:lang w:val="en-US"/>
        </w:rPr>
        <w:tab/>
      </w:r>
      <w:r w:rsidR="00EE74F9" w:rsidRPr="002513B4">
        <w:rPr>
          <w:lang w:val="en-US"/>
        </w:rPr>
        <w:t>Recommendations</w:t>
      </w:r>
    </w:p>
    <w:p w14:paraId="59884503" w14:textId="475364C7" w:rsidR="00EE74F9" w:rsidRPr="002513B4" w:rsidRDefault="00EE74F9" w:rsidP="00EE74F9">
      <w:pPr>
        <w:pStyle w:val="ListBullet"/>
      </w:pPr>
      <w:r w:rsidRPr="002513B4">
        <w:t>We recommend that vendors verify mailing addresses obtained from the agencies using commercial address update services, such as NCOA or the U.S. Postal Service Zip+4 software.</w:t>
      </w:r>
    </w:p>
    <w:p w14:paraId="5BCC75E8" w14:textId="77777777" w:rsidR="00EE74F9" w:rsidRPr="002513B4" w:rsidRDefault="00EE74F9" w:rsidP="00EE74F9">
      <w:pPr>
        <w:pStyle w:val="ListBullet"/>
      </w:pPr>
      <w:r w:rsidRPr="002513B4">
        <w:t xml:space="preserve">We recommend that vendors attempt to identify a new or updated address using commercial address vendors or the Internet for any mail returned as undeliverable in time to include the sample member in the </w:t>
      </w:r>
      <w:r w:rsidR="001A6552" w:rsidRPr="002513B4">
        <w:t xml:space="preserve">follow-up questionnaire </w:t>
      </w:r>
      <w:r w:rsidRPr="002513B4">
        <w:t>mailing.</w:t>
      </w:r>
    </w:p>
    <w:p w14:paraId="4DD41BBF" w14:textId="77777777" w:rsidR="00EE74F9" w:rsidRPr="002513B4" w:rsidRDefault="00EE74F9" w:rsidP="00EE74F9">
      <w:pPr>
        <w:pStyle w:val="ListBullet"/>
      </w:pPr>
      <w:r w:rsidRPr="002513B4">
        <w:t>We recommend that questionnaires be sent with either first-class postage or indicia, to ensure timely delivery and maximize response rates.</w:t>
      </w:r>
    </w:p>
    <w:p w14:paraId="364D0694" w14:textId="4F15A53F" w:rsidR="000A2DE3" w:rsidRPr="002513B4" w:rsidRDefault="00EE74F9" w:rsidP="003A72D1">
      <w:pPr>
        <w:pStyle w:val="ListBullet"/>
      </w:pPr>
      <w:r w:rsidRPr="002513B4">
        <w:t>We recommend that vendors “seed” each mailing. Seeding means including the name and address of designated vendor staff in each mailing file to assess the completeness of the questionnaire package and timeliness of package delivery.</w:t>
      </w:r>
    </w:p>
    <w:p w14:paraId="7D1B4221" w14:textId="2180C1B1" w:rsidR="00EE74F9" w:rsidRPr="002513B4" w:rsidRDefault="004A08B8" w:rsidP="00EE74F9">
      <w:pPr>
        <w:pStyle w:val="Heading3"/>
        <w:rPr>
          <w:lang w:val="en-US"/>
        </w:rPr>
      </w:pPr>
      <w:bookmarkStart w:id="177" w:name="_Toc224984416"/>
      <w:bookmarkStart w:id="178" w:name="_Toc251318145"/>
      <w:bookmarkStart w:id="179" w:name="_Toc407633068"/>
      <w:bookmarkStart w:id="180" w:name="_Toc24713345"/>
      <w:bookmarkStart w:id="181" w:name="_Toc217305582"/>
      <w:r w:rsidRPr="002513B4">
        <w:rPr>
          <w:lang w:val="en-US"/>
        </w:rPr>
        <w:t>5.5</w:t>
      </w:r>
      <w:r w:rsidRPr="002513B4">
        <w:rPr>
          <w:lang w:val="en-US"/>
        </w:rPr>
        <w:tab/>
      </w:r>
      <w:r w:rsidR="00EE74F9" w:rsidRPr="002513B4">
        <w:rPr>
          <w:lang w:val="en-US"/>
        </w:rPr>
        <w:t>Data Receipt and Data Entry Requirements</w:t>
      </w:r>
      <w:bookmarkEnd w:id="177"/>
      <w:bookmarkEnd w:id="178"/>
      <w:bookmarkEnd w:id="179"/>
      <w:bookmarkEnd w:id="180"/>
      <w:bookmarkEnd w:id="181"/>
    </w:p>
    <w:p w14:paraId="19C4F615" w14:textId="77777777" w:rsidR="00EE74F9" w:rsidRPr="002513B4" w:rsidRDefault="00EE74F9" w:rsidP="00EE74F9">
      <w:pPr>
        <w:pStyle w:val="BodyText"/>
        <w:rPr>
          <w:lang w:val="en-US"/>
        </w:rPr>
      </w:pPr>
      <w:r w:rsidRPr="002513B4">
        <w:rPr>
          <w:lang w:val="en-US"/>
        </w:rPr>
        <w:t>The following guidelines are provided for receiving and tracking returned questionnaires and entering the data using either data entry or optical scanning.</w:t>
      </w:r>
    </w:p>
    <w:p w14:paraId="3421547A" w14:textId="38671E48" w:rsidR="00EE74F9" w:rsidRPr="002513B4" w:rsidRDefault="004A08B8" w:rsidP="00EE74F9">
      <w:pPr>
        <w:pStyle w:val="Heading4"/>
        <w:rPr>
          <w:lang w:val="en-US"/>
        </w:rPr>
      </w:pPr>
      <w:r w:rsidRPr="002513B4">
        <w:rPr>
          <w:lang w:val="en-US"/>
        </w:rPr>
        <w:lastRenderedPageBreak/>
        <w:t>5.5.1</w:t>
      </w:r>
      <w:r w:rsidR="004564ED" w:rsidRPr="002513B4">
        <w:rPr>
          <w:lang w:val="en-US"/>
        </w:rPr>
        <w:tab/>
      </w:r>
      <w:r w:rsidR="00EE74F9" w:rsidRPr="002513B4">
        <w:rPr>
          <w:lang w:val="en-US"/>
        </w:rPr>
        <w:t>Data Receipt Requirements</w:t>
      </w:r>
    </w:p>
    <w:p w14:paraId="7DB2A5C8" w14:textId="4E114E21" w:rsidR="00EE74F9" w:rsidRPr="002513B4" w:rsidRDefault="00EE74F9" w:rsidP="00EE74F9">
      <w:pPr>
        <w:pStyle w:val="ListBullet"/>
      </w:pPr>
      <w:r w:rsidRPr="002513B4">
        <w:t>The date the questionnaire was received from each sample member must be entered into the data record created for</w:t>
      </w:r>
      <w:r w:rsidR="004D28C0" w:rsidRPr="002513B4">
        <w:t>`</w:t>
      </w:r>
      <w:r w:rsidRPr="002513B4">
        <w:t xml:space="preserve"> each case on the </w:t>
      </w:r>
      <w:r w:rsidR="00D818AA" w:rsidRPr="002513B4">
        <w:t xml:space="preserve">XML </w:t>
      </w:r>
      <w:r w:rsidRPr="002513B4">
        <w:t>data file.</w:t>
      </w:r>
    </w:p>
    <w:p w14:paraId="498EE536" w14:textId="77777777" w:rsidR="00EE74F9" w:rsidRPr="002513B4" w:rsidRDefault="00EE74F9" w:rsidP="00EE74F9">
      <w:pPr>
        <w:pStyle w:val="ListBullet"/>
      </w:pPr>
      <w:r w:rsidRPr="002513B4">
        <w:t>Questionnaires should be visually reviewed prior to scanning for notes</w:t>
      </w:r>
      <w:r w:rsidR="00B3253E" w:rsidRPr="002513B4">
        <w:t xml:space="preserve"> or </w:t>
      </w:r>
      <w:r w:rsidRPr="002513B4">
        <w:t>comments. Vendors should have more than one person who can code or review comments and attach notes for proper disposition code assignment.</w:t>
      </w:r>
    </w:p>
    <w:p w14:paraId="09FC36B1" w14:textId="77777777" w:rsidR="00EE74F9" w:rsidRPr="002513B4" w:rsidRDefault="00EE74F9" w:rsidP="00EE74F9">
      <w:pPr>
        <w:pStyle w:val="ListBullet"/>
      </w:pPr>
      <w:r w:rsidRPr="002513B4">
        <w:t>Completed questionnaires received should be logged into the tracking system in a timely manner to ensure that sample members who respond to the first mailing are excluded from the second questionnaire mailing.</w:t>
      </w:r>
    </w:p>
    <w:p w14:paraId="2BCAD142" w14:textId="77777777" w:rsidR="00EE74F9" w:rsidRPr="002513B4" w:rsidRDefault="00EE74F9" w:rsidP="00EE74F9">
      <w:pPr>
        <w:pStyle w:val="ListBullet"/>
      </w:pPr>
      <w:r w:rsidRPr="002513B4">
        <w:t>If two questionnaires are received from the same sample member, vendors should keep and use the questionnaire that has the more complete data, regardless of which questionnaire is received first. If the two questionnaires received contain the same amount of data (are equally complete), the vendor should retain and use the first one received.</w:t>
      </w:r>
    </w:p>
    <w:p w14:paraId="1ECAAA38" w14:textId="69E8CE20" w:rsidR="00EE74F9" w:rsidRPr="002513B4" w:rsidRDefault="00EE74F9" w:rsidP="00EE74F9">
      <w:pPr>
        <w:pStyle w:val="ListBullet"/>
      </w:pPr>
      <w:r w:rsidRPr="002513B4">
        <w:rPr>
          <w:rFonts w:eastAsia="Calibri"/>
        </w:rPr>
        <w:t xml:space="preserve">If a completed questionnaire is returned and the vendor learns that a sampled patient is deceased and the questionnaire was completed by someone else, it is not acceptable to scan a questionnaire for that patient, even if it was completed by a proxy respondent. If the vendor learns that a sample patient is deceased (via a telephone call from a relative or friend or through a note or comment marked on the completed questionnaire), the vendor should not process (scan) data from the </w:t>
      </w:r>
      <w:r w:rsidR="009C3507" w:rsidRPr="002513B4">
        <w:rPr>
          <w:rFonts w:eastAsia="Calibri"/>
        </w:rPr>
        <w:t>questionnaire but</w:t>
      </w:r>
      <w:r w:rsidRPr="002513B4">
        <w:rPr>
          <w:rFonts w:eastAsia="Calibri"/>
        </w:rPr>
        <w:t xml:space="preserve"> instead assign the applicable final disposition code to the case to indicate that the sample member is deceased</w:t>
      </w:r>
      <w:r w:rsidR="009C3507" w:rsidRPr="002513B4">
        <w:rPr>
          <w:rFonts w:eastAsia="Calibri"/>
        </w:rPr>
        <w:t xml:space="preserve"> (Code 210)</w:t>
      </w:r>
      <w:r w:rsidRPr="002513B4">
        <w:rPr>
          <w:rFonts w:eastAsia="Calibri"/>
        </w:rPr>
        <w:t>.</w:t>
      </w:r>
    </w:p>
    <w:p w14:paraId="5FF0E6A1" w14:textId="3ADF104F" w:rsidR="00EE74F9" w:rsidRPr="002513B4" w:rsidRDefault="00EE74F9" w:rsidP="00EE74F9">
      <w:pPr>
        <w:pStyle w:val="ListBullet"/>
      </w:pPr>
      <w:r w:rsidRPr="002513B4">
        <w:t>A final HHCAHPS</w:t>
      </w:r>
      <w:r w:rsidRPr="002513B4" w:rsidDel="00726466">
        <w:t xml:space="preserve"> </w:t>
      </w:r>
      <w:r w:rsidRPr="002513B4">
        <w:t>Survey status code (see</w:t>
      </w:r>
      <w:r w:rsidRPr="002513B4">
        <w:rPr>
          <w:b/>
          <w:i/>
        </w:rPr>
        <w:t xml:space="preserve"> Table 9.1</w:t>
      </w:r>
      <w:r w:rsidRPr="002513B4">
        <w:t xml:space="preserve"> in </w:t>
      </w:r>
      <w:r w:rsidRPr="002513B4">
        <w:rPr>
          <w:b/>
          <w:i/>
        </w:rPr>
        <w:t>Chapter </w:t>
      </w:r>
      <w:r w:rsidR="009C480B" w:rsidRPr="002513B4">
        <w:rPr>
          <w:b/>
          <w:i/>
        </w:rPr>
        <w:t>9</w:t>
      </w:r>
      <w:r w:rsidRPr="002513B4">
        <w:rPr>
          <w:bCs/>
          <w:iCs/>
        </w:rPr>
        <w:t>)</w:t>
      </w:r>
      <w:r w:rsidRPr="002513B4">
        <w:t xml:space="preserve"> must be assigned to each case.</w:t>
      </w:r>
    </w:p>
    <w:p w14:paraId="67104EDA" w14:textId="3F883F49" w:rsidR="000D2452" w:rsidRPr="002513B4" w:rsidRDefault="000D2452" w:rsidP="000D2452">
      <w:pPr>
        <w:pStyle w:val="Heading4"/>
        <w:rPr>
          <w:lang w:val="en-US"/>
        </w:rPr>
      </w:pPr>
      <w:r w:rsidRPr="002513B4">
        <w:rPr>
          <w:lang w:val="en-US"/>
        </w:rPr>
        <w:t>5.5.2</w:t>
      </w:r>
      <w:r w:rsidR="004564ED" w:rsidRPr="002513B4">
        <w:rPr>
          <w:lang w:val="en-US"/>
        </w:rPr>
        <w:tab/>
      </w:r>
      <w:r w:rsidRPr="002513B4">
        <w:rPr>
          <w:lang w:val="en-US"/>
        </w:rPr>
        <w:t>Data Capture Requirements</w:t>
      </w:r>
      <w:r w:rsidR="00E131A9" w:rsidRPr="002513B4">
        <w:rPr>
          <w:lang w:val="en-US"/>
        </w:rPr>
        <w:t xml:space="preserve"> for </w:t>
      </w:r>
      <w:r w:rsidRPr="002513B4">
        <w:rPr>
          <w:lang w:val="en-US"/>
        </w:rPr>
        <w:t>Optical Scanning and Data Keying</w:t>
      </w:r>
    </w:p>
    <w:p w14:paraId="2A17F642" w14:textId="77777777" w:rsidR="000D2452" w:rsidRPr="002513B4" w:rsidRDefault="000D2452" w:rsidP="000D2452">
      <w:pPr>
        <w:pStyle w:val="ListBullet"/>
      </w:pPr>
      <w:r w:rsidRPr="002513B4">
        <w:t>If a response mark falls between two answer choices but is clearly closer to one answer choice than to another, select the response that is closest to the marked response.</w:t>
      </w:r>
    </w:p>
    <w:p w14:paraId="744F0CAD" w14:textId="77777777" w:rsidR="000D2452" w:rsidRPr="002513B4" w:rsidRDefault="000D2452" w:rsidP="000D2452">
      <w:pPr>
        <w:pStyle w:val="ListBullet"/>
      </w:pPr>
      <w:r w:rsidRPr="002513B4">
        <w:t xml:space="preserve">If two responses are checked for the same question, select the one that appears darkest. If it is not possible to </w:t>
      </w:r>
      <w:proofErr w:type="gramStart"/>
      <w:r w:rsidRPr="002513B4">
        <w:t>make a determination</w:t>
      </w:r>
      <w:proofErr w:type="gramEnd"/>
      <w:r w:rsidRPr="002513B4">
        <w:t>, leave the response blank and code as “M” (Missing) rather than guessing.</w:t>
      </w:r>
    </w:p>
    <w:p w14:paraId="17A64CB9" w14:textId="77777777" w:rsidR="000D2452" w:rsidRPr="002513B4" w:rsidRDefault="000D2452" w:rsidP="000D2452">
      <w:pPr>
        <w:pStyle w:val="ListBullet"/>
      </w:pPr>
      <w:r w:rsidRPr="002513B4">
        <w:t>If a mark is between two answer choices but is not clearly closer to one answer choice, code as “M” (Missing).</w:t>
      </w:r>
    </w:p>
    <w:p w14:paraId="61DA230E" w14:textId="77777777" w:rsidR="000D2452" w:rsidRPr="002513B4" w:rsidRDefault="000D2452" w:rsidP="000D2452">
      <w:pPr>
        <w:pStyle w:val="ListBullet"/>
      </w:pPr>
      <w:r w:rsidRPr="002513B4">
        <w:t xml:space="preserve">If a response is missing, leave the response blank and code as “M” (Missing). </w:t>
      </w:r>
    </w:p>
    <w:p w14:paraId="087FC5BA" w14:textId="77777777" w:rsidR="000D2452" w:rsidRPr="002513B4" w:rsidRDefault="000D2452" w:rsidP="000D2452">
      <w:pPr>
        <w:pStyle w:val="ListBullet"/>
      </w:pPr>
      <w:r w:rsidRPr="002513B4">
        <w:t xml:space="preserve">The decision on whether to key the responses to open-ended survey items, specifically, the “Some other language” (response option 3) in Q23 and the “Helped in some other way” (response option 5) in Q25, is up to each individual HHA. Vendors will not be required to key and include responses to open-ended survey items on the XML data files submitted to the HHCAHPS Data Center. CMS, however, </w:t>
      </w:r>
      <w:r w:rsidRPr="002513B4">
        <w:lastRenderedPageBreak/>
        <w:t>encourages survey vendors to review the open-ended entries so that they can provide feedback to the Coordination Team about adding additional preprinted response options to these survey items if needed.</w:t>
      </w:r>
    </w:p>
    <w:p w14:paraId="1F8B7C15" w14:textId="28D12ACB" w:rsidR="000D2452" w:rsidRPr="002513B4" w:rsidRDefault="000D2452" w:rsidP="000D2452">
      <w:pPr>
        <w:pStyle w:val="ListBullet"/>
      </w:pPr>
      <w:r w:rsidRPr="002513B4">
        <w:t>If the vendor includes the Consent to Share Responses question in the mail survey questionnaire, we recommend that the vendor scan the response to that question. However, responses to the Consent to Share Responses question will not be included on the XML data files submitted to the Data Center.</w:t>
      </w:r>
    </w:p>
    <w:p w14:paraId="37CCA8D9" w14:textId="73C19965" w:rsidR="00EE74F9" w:rsidRPr="002513B4" w:rsidRDefault="004A08B8" w:rsidP="00EE74F9">
      <w:pPr>
        <w:pStyle w:val="Heading4"/>
        <w:rPr>
          <w:lang w:val="en-US"/>
        </w:rPr>
      </w:pPr>
      <w:r w:rsidRPr="002513B4">
        <w:rPr>
          <w:lang w:val="en-US"/>
        </w:rPr>
        <w:t>5.5.</w:t>
      </w:r>
      <w:r w:rsidR="000D2452" w:rsidRPr="002513B4">
        <w:rPr>
          <w:lang w:val="en-US"/>
        </w:rPr>
        <w:t>3</w:t>
      </w:r>
      <w:r w:rsidR="004564ED" w:rsidRPr="002513B4">
        <w:rPr>
          <w:lang w:val="en-US"/>
        </w:rPr>
        <w:tab/>
      </w:r>
      <w:r w:rsidR="00EE74F9" w:rsidRPr="002513B4">
        <w:rPr>
          <w:lang w:val="en-US"/>
        </w:rPr>
        <w:t xml:space="preserve">Optical Scanning </w:t>
      </w:r>
      <w:r w:rsidR="00463CF2" w:rsidRPr="002513B4">
        <w:rPr>
          <w:lang w:val="en-US"/>
        </w:rPr>
        <w:t xml:space="preserve">Specific </w:t>
      </w:r>
      <w:r w:rsidR="00EE74F9" w:rsidRPr="002513B4">
        <w:rPr>
          <w:lang w:val="en-US"/>
        </w:rPr>
        <w:t>Requirements</w:t>
      </w:r>
    </w:p>
    <w:p w14:paraId="4176580F" w14:textId="77777777" w:rsidR="00EE74F9" w:rsidRPr="002513B4" w:rsidRDefault="00EE74F9" w:rsidP="00EE74F9">
      <w:pPr>
        <w:pStyle w:val="ListBullet"/>
        <w:keepNext/>
      </w:pPr>
      <w:r w:rsidRPr="002513B4">
        <w:t>The scanning program should not permit scanning of duplicate questionnaires.</w:t>
      </w:r>
    </w:p>
    <w:p w14:paraId="741D1F5F" w14:textId="77777777" w:rsidR="00EE74F9" w:rsidRPr="002513B4" w:rsidRDefault="00EE74F9" w:rsidP="00EE74F9">
      <w:pPr>
        <w:pStyle w:val="ListBullet"/>
      </w:pPr>
      <w:r w:rsidRPr="002513B4">
        <w:t>The scanning program should not permit out-of-range or invalid responses.</w:t>
      </w:r>
    </w:p>
    <w:p w14:paraId="1C497D3E" w14:textId="77777777" w:rsidR="00EE74F9" w:rsidRPr="002513B4" w:rsidRDefault="00EE74F9" w:rsidP="00EE74F9">
      <w:pPr>
        <w:pStyle w:val="ListBullet"/>
      </w:pPr>
      <w:r w:rsidRPr="002513B4">
        <w:t>A sample of questionnaires (minimum of 10</w:t>
      </w:r>
      <w:r w:rsidR="001D51BD" w:rsidRPr="002513B4">
        <w:t>%</w:t>
      </w:r>
      <w:r w:rsidRPr="002513B4">
        <w:t>) should be rescanned and compared with the original as a quality control measure. Any discrepancies should be reconciled by a supervisor.</w:t>
      </w:r>
    </w:p>
    <w:p w14:paraId="4A568592" w14:textId="77777777" w:rsidR="00EE74F9" w:rsidRPr="002513B4" w:rsidRDefault="00EE74F9" w:rsidP="00EE74F9">
      <w:pPr>
        <w:pStyle w:val="ListBullet"/>
      </w:pPr>
      <w:r w:rsidRPr="002513B4">
        <w:t>The survey responses marked in a sample of questionnaires (minimum of 10</w:t>
      </w:r>
      <w:r w:rsidR="001D51BD" w:rsidRPr="002513B4">
        <w:t>%</w:t>
      </w:r>
      <w:r w:rsidRPr="002513B4">
        <w:t>) should be compared to the entries scanned for that case to make sure that the scanning program scanned the marked responses correctly.</w:t>
      </w:r>
    </w:p>
    <w:p w14:paraId="446C108D" w14:textId="15EBA616" w:rsidR="00EE74F9" w:rsidRPr="002513B4" w:rsidRDefault="004A08B8" w:rsidP="00EE74F9">
      <w:pPr>
        <w:pStyle w:val="Heading4"/>
        <w:rPr>
          <w:lang w:val="en-US"/>
        </w:rPr>
      </w:pPr>
      <w:r w:rsidRPr="002513B4">
        <w:rPr>
          <w:lang w:val="en-US"/>
        </w:rPr>
        <w:t>5.5.</w:t>
      </w:r>
      <w:r w:rsidR="000D2452" w:rsidRPr="002513B4">
        <w:rPr>
          <w:lang w:val="en-US"/>
        </w:rPr>
        <w:t>4</w:t>
      </w:r>
      <w:r w:rsidR="004564ED" w:rsidRPr="002513B4">
        <w:rPr>
          <w:lang w:val="en-US"/>
        </w:rPr>
        <w:tab/>
      </w:r>
      <w:r w:rsidR="00EE74F9" w:rsidRPr="002513B4">
        <w:rPr>
          <w:lang w:val="en-US"/>
        </w:rPr>
        <w:t xml:space="preserve">Data Entry </w:t>
      </w:r>
      <w:r w:rsidR="00170C09" w:rsidRPr="002513B4">
        <w:rPr>
          <w:lang w:val="en-US"/>
        </w:rPr>
        <w:t xml:space="preserve">Specific </w:t>
      </w:r>
      <w:r w:rsidR="00EE74F9" w:rsidRPr="002513B4">
        <w:rPr>
          <w:lang w:val="en-US"/>
        </w:rPr>
        <w:t>Requirements</w:t>
      </w:r>
    </w:p>
    <w:p w14:paraId="00C3CB97" w14:textId="77777777" w:rsidR="00EE74F9" w:rsidRPr="002513B4" w:rsidRDefault="00EE74F9" w:rsidP="00EE74F9">
      <w:pPr>
        <w:pStyle w:val="ListBullet"/>
      </w:pPr>
      <w:r w:rsidRPr="002513B4">
        <w:t>The key entry process should not permit keying of duplicate questionnaires.</w:t>
      </w:r>
    </w:p>
    <w:p w14:paraId="72661594" w14:textId="77777777" w:rsidR="00EE74F9" w:rsidRPr="002513B4" w:rsidRDefault="00EE74F9" w:rsidP="00EE74F9">
      <w:pPr>
        <w:pStyle w:val="ListBullet"/>
      </w:pPr>
      <w:r w:rsidRPr="002513B4">
        <w:t>The key entry program should not permit out-of-range or invalid responses.</w:t>
      </w:r>
    </w:p>
    <w:p w14:paraId="5156B1AC" w14:textId="77777777" w:rsidR="00EE74F9" w:rsidRPr="002513B4" w:rsidRDefault="00EE74F9" w:rsidP="00EE74F9">
      <w:pPr>
        <w:pStyle w:val="ListBullet"/>
      </w:pPr>
      <w:r w:rsidRPr="002513B4">
        <w:t>All questionnaires should be 100</w:t>
      </w:r>
      <w:r w:rsidR="00FC6CB7" w:rsidRPr="002513B4">
        <w:t>%</w:t>
      </w:r>
      <w:r w:rsidRPr="002513B4">
        <w:t xml:space="preserve"> rekeyed for quality control purposes. That is, for every questionnaire, a different keyer should rekey the questionnaire to ensure that all entries are accurate. If any discrepancies are observed, a supervisor should resolve the discrepancy and ensure that the correct value is keyed.</w:t>
      </w:r>
    </w:p>
    <w:p w14:paraId="697B0A8C" w14:textId="7E84EEB3" w:rsidR="00EE74F9" w:rsidRPr="002513B4" w:rsidRDefault="004A08B8" w:rsidP="00EE74F9">
      <w:pPr>
        <w:pStyle w:val="Heading3"/>
        <w:rPr>
          <w:lang w:val="en-US"/>
        </w:rPr>
      </w:pPr>
      <w:bookmarkStart w:id="182" w:name="_Toc224984417"/>
      <w:bookmarkStart w:id="183" w:name="_Toc251318146"/>
      <w:bookmarkStart w:id="184" w:name="_Toc407633069"/>
      <w:bookmarkStart w:id="185" w:name="_Toc24713346"/>
      <w:bookmarkStart w:id="186" w:name="_Toc217305583"/>
      <w:r w:rsidRPr="002513B4">
        <w:rPr>
          <w:lang w:val="en-US"/>
        </w:rPr>
        <w:t>5.6</w:t>
      </w:r>
      <w:r w:rsidRPr="002513B4">
        <w:rPr>
          <w:lang w:val="en-US"/>
        </w:rPr>
        <w:tab/>
      </w:r>
      <w:r w:rsidR="00EE74F9" w:rsidRPr="002513B4">
        <w:rPr>
          <w:lang w:val="en-US"/>
        </w:rPr>
        <w:t>Staff Training</w:t>
      </w:r>
      <w:bookmarkEnd w:id="182"/>
      <w:bookmarkEnd w:id="183"/>
      <w:bookmarkEnd w:id="184"/>
      <w:bookmarkEnd w:id="185"/>
      <w:bookmarkEnd w:id="186"/>
    </w:p>
    <w:p w14:paraId="3050835D" w14:textId="77777777" w:rsidR="00EE74F9" w:rsidRPr="002513B4" w:rsidRDefault="00EE74F9" w:rsidP="00EE74F9">
      <w:pPr>
        <w:pStyle w:val="BodyText"/>
        <w:keepLines/>
        <w:rPr>
          <w:lang w:val="en-US"/>
        </w:rPr>
      </w:pPr>
      <w:r w:rsidRPr="002513B4">
        <w:rPr>
          <w:lang w:val="en-US"/>
        </w:rPr>
        <w:t xml:space="preserve">All staff involved in the mail survey implementation, including support staff, must be thoroughly trained on the survey specifications and protocols. A copy of relevant chapters of this manual should be made available to all staff as needed. </w:t>
      </w:r>
      <w:proofErr w:type="gramStart"/>
      <w:r w:rsidRPr="002513B4">
        <w:rPr>
          <w:lang w:val="en-US"/>
        </w:rPr>
        <w:t>In particular, staff</w:t>
      </w:r>
      <w:proofErr w:type="gramEnd"/>
      <w:r w:rsidRPr="002513B4">
        <w:rPr>
          <w:lang w:val="en-US"/>
        </w:rPr>
        <w:t xml:space="preserve"> involved in questionnaire assembly and mailout, data receipt, and data entry must be trained on:</w:t>
      </w:r>
    </w:p>
    <w:p w14:paraId="1BCC4CD8" w14:textId="77777777" w:rsidR="00EE74F9" w:rsidRPr="002513B4" w:rsidRDefault="00EE74F9" w:rsidP="00EE74F9">
      <w:pPr>
        <w:pStyle w:val="ListBullet"/>
      </w:pPr>
      <w:r w:rsidRPr="002513B4">
        <w:t>Use of relevant equipment (case management systems for entering questionnaire receipts, scanning equipment, data entry programs);</w:t>
      </w:r>
    </w:p>
    <w:p w14:paraId="07ACCDF1" w14:textId="77777777" w:rsidR="00EE74F9" w:rsidRPr="002513B4" w:rsidRDefault="00EE74F9" w:rsidP="00EE74F9">
      <w:pPr>
        <w:pStyle w:val="ListBullet"/>
      </w:pPr>
      <w:r w:rsidRPr="002513B4">
        <w:t>HHCAHPS Survey protocol specific to their role (for example, contents of questionnaire package, how to document or enter returned questionnaires into the tracking system);</w:t>
      </w:r>
    </w:p>
    <w:p w14:paraId="0B65575E" w14:textId="386A71BE" w:rsidR="00EE74F9" w:rsidRPr="002513B4" w:rsidRDefault="00EE74F9" w:rsidP="00EE74F9">
      <w:pPr>
        <w:pStyle w:val="ListBullet"/>
      </w:pPr>
      <w:r w:rsidRPr="002513B4">
        <w:t xml:space="preserve">Decision rules and coding guidelines for returned questionnaires (see </w:t>
      </w:r>
      <w:r w:rsidRPr="002513B4">
        <w:rPr>
          <w:b/>
          <w:i/>
        </w:rPr>
        <w:t>Chapter </w:t>
      </w:r>
      <w:r w:rsidR="00873EED" w:rsidRPr="002513B4">
        <w:rPr>
          <w:b/>
          <w:i/>
        </w:rPr>
        <w:t>9</w:t>
      </w:r>
      <w:r w:rsidRPr="002513B4">
        <w:t>); and</w:t>
      </w:r>
    </w:p>
    <w:p w14:paraId="49D56932" w14:textId="501F221B" w:rsidR="00EE74F9" w:rsidRPr="002513B4" w:rsidRDefault="00EE74F9" w:rsidP="00EE74F9">
      <w:pPr>
        <w:pStyle w:val="ListBullet"/>
      </w:pPr>
      <w:r w:rsidRPr="002513B4">
        <w:lastRenderedPageBreak/>
        <w:t>Proper handling of hardcopy and electronic data, including data storage requirements</w:t>
      </w:r>
      <w:r w:rsidR="002A3835" w:rsidRPr="002513B4">
        <w:t xml:space="preserve"> and adhering to HIPAA regulations</w:t>
      </w:r>
      <w:r w:rsidRPr="002513B4">
        <w:t xml:space="preserve"> (see </w:t>
      </w:r>
      <w:r w:rsidRPr="002513B4">
        <w:rPr>
          <w:b/>
          <w:i/>
        </w:rPr>
        <w:t>Chapter </w:t>
      </w:r>
      <w:r w:rsidR="00873EED" w:rsidRPr="002513B4">
        <w:rPr>
          <w:b/>
          <w:i/>
        </w:rPr>
        <w:t>8</w:t>
      </w:r>
      <w:r w:rsidRPr="002513B4">
        <w:t>).</w:t>
      </w:r>
    </w:p>
    <w:p w14:paraId="1B3177E9" w14:textId="2B6FCC93" w:rsidR="00EE74F9" w:rsidRPr="002513B4" w:rsidRDefault="00EE74F9" w:rsidP="00EE74F9">
      <w:pPr>
        <w:pStyle w:val="BodyText"/>
        <w:rPr>
          <w:lang w:val="en-US"/>
        </w:rPr>
      </w:pPr>
      <w:r w:rsidRPr="002513B4">
        <w:rPr>
          <w:lang w:val="en-US"/>
        </w:rPr>
        <w:t xml:space="preserve">Staff involved in providing customer support via the toll-free telephone number should also be trained on the accurate responses to commonly asked questions, how to respond to questions when customer support does not know the answer, and the rights of survey respondents. If the HHCAHPS Survey is being offered in a language other than English, customer support staff should also be able to handle questions via the toll-free telephone number in that language. Telephone interviewer training requirements are described in more detail in </w:t>
      </w:r>
      <w:r w:rsidRPr="002513B4">
        <w:rPr>
          <w:b/>
          <w:i/>
          <w:lang w:val="en-US"/>
        </w:rPr>
        <w:t>Chapter </w:t>
      </w:r>
      <w:r w:rsidR="00873EED" w:rsidRPr="002513B4">
        <w:rPr>
          <w:b/>
          <w:i/>
          <w:lang w:val="en-US"/>
        </w:rPr>
        <w:t>6</w:t>
      </w:r>
      <w:r w:rsidRPr="002513B4">
        <w:rPr>
          <w:lang w:val="en-US"/>
        </w:rPr>
        <w:t xml:space="preserve"> of this manual. Please refer to that chapter for more information on</w:t>
      </w:r>
      <w:r w:rsidR="009C3507" w:rsidRPr="002513B4">
        <w:rPr>
          <w:lang w:val="en-US"/>
        </w:rPr>
        <w:t xml:space="preserve"> requirements for</w:t>
      </w:r>
      <w:r w:rsidRPr="002513B4">
        <w:rPr>
          <w:lang w:val="en-US"/>
        </w:rPr>
        <w:t xml:space="preserve"> training customer support staff.</w:t>
      </w:r>
    </w:p>
    <w:p w14:paraId="53D1E9D4" w14:textId="29AE29FC" w:rsidR="00EE74F9" w:rsidRPr="002513B4" w:rsidRDefault="004A08B8" w:rsidP="00EE74F9">
      <w:pPr>
        <w:pStyle w:val="Heading3"/>
        <w:rPr>
          <w:lang w:val="en-US"/>
        </w:rPr>
      </w:pPr>
      <w:bookmarkStart w:id="187" w:name="_Toc224984418"/>
      <w:bookmarkStart w:id="188" w:name="_Toc251318147"/>
      <w:bookmarkStart w:id="189" w:name="_Toc407633070"/>
      <w:bookmarkStart w:id="190" w:name="_Toc24713347"/>
      <w:bookmarkStart w:id="191" w:name="_Toc217305584"/>
      <w:r w:rsidRPr="002513B4">
        <w:rPr>
          <w:lang w:val="en-US"/>
        </w:rPr>
        <w:t>5.7</w:t>
      </w:r>
      <w:r w:rsidRPr="002513B4">
        <w:rPr>
          <w:lang w:val="en-US"/>
        </w:rPr>
        <w:tab/>
      </w:r>
      <w:r w:rsidR="00EE74F9" w:rsidRPr="002513B4">
        <w:rPr>
          <w:lang w:val="en-US"/>
        </w:rPr>
        <w:t>Mail-Only Quality Control Guidelines</w:t>
      </w:r>
      <w:bookmarkEnd w:id="187"/>
      <w:bookmarkEnd w:id="188"/>
      <w:bookmarkEnd w:id="189"/>
      <w:bookmarkEnd w:id="190"/>
      <w:bookmarkEnd w:id="191"/>
    </w:p>
    <w:p w14:paraId="37044F18" w14:textId="77777777" w:rsidR="00EE74F9" w:rsidRPr="002513B4" w:rsidRDefault="00EE74F9" w:rsidP="00EE74F9">
      <w:pPr>
        <w:pStyle w:val="BodyText"/>
        <w:rPr>
          <w:lang w:val="en-US"/>
        </w:rPr>
      </w:pPr>
      <w:r w:rsidRPr="002513B4">
        <w:rPr>
          <w:lang w:val="en-US"/>
        </w:rPr>
        <w:t>The following steps are required or recommended as a means of incorporating quality control into the mail-only survey administration procedures. Quality control checks should be conducted by a different staff person than the one who completed the task. Some of these are mentioned earlier in the chapter.</w:t>
      </w:r>
    </w:p>
    <w:p w14:paraId="3B5B26D5" w14:textId="5BA34C03" w:rsidR="00EE74F9" w:rsidRPr="002513B4" w:rsidRDefault="004A08B8" w:rsidP="00EE74F9">
      <w:pPr>
        <w:pStyle w:val="Heading4"/>
        <w:rPr>
          <w:lang w:val="en-US"/>
        </w:rPr>
      </w:pPr>
      <w:r w:rsidRPr="002513B4">
        <w:rPr>
          <w:lang w:val="en-US"/>
        </w:rPr>
        <w:t>5.7.1</w:t>
      </w:r>
      <w:r w:rsidR="004564ED" w:rsidRPr="002513B4">
        <w:rPr>
          <w:lang w:val="en-US"/>
        </w:rPr>
        <w:tab/>
      </w:r>
      <w:r w:rsidR="00EE74F9" w:rsidRPr="002513B4">
        <w:rPr>
          <w:lang w:val="en-US"/>
        </w:rPr>
        <w:t>Required</w:t>
      </w:r>
    </w:p>
    <w:p w14:paraId="32ED8E6C" w14:textId="77777777" w:rsidR="00EE74F9" w:rsidRPr="002513B4" w:rsidRDefault="00EE74F9" w:rsidP="00EE74F9">
      <w:pPr>
        <w:pStyle w:val="ListBullet"/>
      </w:pPr>
      <w:r w:rsidRPr="002513B4">
        <w:t>Check a minimum of 10</w:t>
      </w:r>
      <w:r w:rsidR="000E1CFE" w:rsidRPr="002513B4">
        <w:t>%</w:t>
      </w:r>
      <w:r w:rsidRPr="002513B4">
        <w:t xml:space="preserve"> of all printed materials to ensure the quality of the printing—that is, make sure that there is no smearing, misaligned pages, duplicate pages, or stray marks on pages.</w:t>
      </w:r>
    </w:p>
    <w:p w14:paraId="5E7DA54A" w14:textId="77777777" w:rsidR="00EE74F9" w:rsidRPr="002513B4" w:rsidRDefault="00EE74F9" w:rsidP="00EE74F9">
      <w:pPr>
        <w:pStyle w:val="ListBullet"/>
      </w:pPr>
      <w:r w:rsidRPr="002513B4">
        <w:t>Check a minimum of 10</w:t>
      </w:r>
      <w:r w:rsidR="000E1CFE" w:rsidRPr="002513B4">
        <w:t>%</w:t>
      </w:r>
      <w:r w:rsidRPr="002513B4">
        <w:t xml:space="preserve"> of all outgoing questionnaire packages to ensure that all package contents are </w:t>
      </w:r>
      <w:proofErr w:type="gramStart"/>
      <w:r w:rsidRPr="002513B4">
        <w:t>included</w:t>
      </w:r>
      <w:proofErr w:type="gramEnd"/>
      <w:r w:rsidRPr="002513B4">
        <w:t xml:space="preserve"> and that the same unique SID number appears on both the cover letter and the questionnaire.</w:t>
      </w:r>
    </w:p>
    <w:p w14:paraId="153B02D8" w14:textId="77777777" w:rsidR="00EE74F9" w:rsidRPr="002513B4" w:rsidRDefault="00A56C03" w:rsidP="00EE74F9">
      <w:pPr>
        <w:pStyle w:val="ListBullet"/>
      </w:pPr>
      <w:r w:rsidRPr="002513B4">
        <w:t>For vendors that use optical scanning, a</w:t>
      </w:r>
      <w:r w:rsidR="00EE74F9" w:rsidRPr="002513B4">
        <w:t xml:space="preserve"> sample of questionnaires (minimum of 10</w:t>
      </w:r>
      <w:r w:rsidR="000E1CFE" w:rsidRPr="002513B4">
        <w:t>%</w:t>
      </w:r>
      <w:r w:rsidR="00EE74F9" w:rsidRPr="002513B4">
        <w:t xml:space="preserve">) should be rescanned and compared with the original as a quality control measure. </w:t>
      </w:r>
      <w:r w:rsidRPr="002513B4">
        <w:t>This serves as a quality control measure that the scanning program is capturing the hardcopy questionnaire</w:t>
      </w:r>
      <w:r w:rsidR="007045AE" w:rsidRPr="002513B4">
        <w:t xml:space="preserve"> responses</w:t>
      </w:r>
      <w:r w:rsidRPr="002513B4">
        <w:t xml:space="preserve"> correctly. </w:t>
      </w:r>
      <w:r w:rsidR="00EE74F9" w:rsidRPr="002513B4">
        <w:t>Any discrepancies should be reconciled by a supervisor.</w:t>
      </w:r>
    </w:p>
    <w:p w14:paraId="13E8CEB8" w14:textId="77777777" w:rsidR="00EE74F9" w:rsidRPr="002513B4" w:rsidRDefault="00A56C03" w:rsidP="00EE74F9">
      <w:pPr>
        <w:pStyle w:val="ListBullet"/>
      </w:pPr>
      <w:r w:rsidRPr="002513B4">
        <w:t>For vendors that use manual data entry, a</w:t>
      </w:r>
      <w:r w:rsidR="00EE74F9" w:rsidRPr="002513B4">
        <w:t>ll questionnaires should be 100</w:t>
      </w:r>
      <w:r w:rsidR="000E1CFE" w:rsidRPr="002513B4">
        <w:t>%</w:t>
      </w:r>
      <w:r w:rsidR="00EE74F9" w:rsidRPr="002513B4">
        <w:t xml:space="preserve"> rekeyed for quality control purposes. That is, for every questionnaire, a different keyer should rekey the questionnaire to ensure that all entries are accurate. If any discrepancies are observed, a supervisor should resolve the discrepancy and ensure that the correct value is </w:t>
      </w:r>
      <w:r w:rsidR="000E1CFE" w:rsidRPr="002513B4">
        <w:t>retained</w:t>
      </w:r>
      <w:r w:rsidR="00EE74F9" w:rsidRPr="002513B4">
        <w:t>.</w:t>
      </w:r>
    </w:p>
    <w:p w14:paraId="654F2FCD" w14:textId="1FAB181C" w:rsidR="00EE74F9" w:rsidRPr="002513B4" w:rsidRDefault="004A08B8" w:rsidP="00EE74F9">
      <w:pPr>
        <w:pStyle w:val="Heading4"/>
        <w:rPr>
          <w:lang w:val="en-US"/>
        </w:rPr>
      </w:pPr>
      <w:r w:rsidRPr="002513B4">
        <w:rPr>
          <w:lang w:val="en-US"/>
        </w:rPr>
        <w:t>5.7.2</w:t>
      </w:r>
      <w:r w:rsidR="004564ED" w:rsidRPr="002513B4">
        <w:rPr>
          <w:lang w:val="en-US"/>
        </w:rPr>
        <w:tab/>
      </w:r>
      <w:r w:rsidR="00EE74F9" w:rsidRPr="002513B4">
        <w:rPr>
          <w:lang w:val="en-US"/>
        </w:rPr>
        <w:t>Recommended</w:t>
      </w:r>
    </w:p>
    <w:p w14:paraId="27F04DEC" w14:textId="77777777" w:rsidR="00C50ADF" w:rsidRPr="00676DC6" w:rsidRDefault="00C50ADF" w:rsidP="00676DC6">
      <w:pPr>
        <w:pStyle w:val="ListBullet"/>
        <w:spacing w:after="120"/>
      </w:pPr>
      <w:r w:rsidRPr="00676DC6">
        <w:t>Before submitting data to the HHCAHPS Data Center, w</w:t>
      </w:r>
      <w:r w:rsidR="00EE74F9" w:rsidRPr="00676DC6">
        <w:t xml:space="preserve">e highly recommend that vendors </w:t>
      </w:r>
      <w:r w:rsidRPr="00676DC6">
        <w:t xml:space="preserve">do the following: </w:t>
      </w:r>
    </w:p>
    <w:p w14:paraId="48EA2795" w14:textId="77777777" w:rsidR="00EE74F9" w:rsidRPr="002513B4" w:rsidRDefault="005F4247" w:rsidP="00A62DD9">
      <w:pPr>
        <w:pStyle w:val="ListBullet2"/>
      </w:pPr>
      <w:r w:rsidRPr="002513B4">
        <w:lastRenderedPageBreak/>
        <w:t xml:space="preserve">Review </w:t>
      </w:r>
      <w:r w:rsidR="00EE74F9" w:rsidRPr="002513B4">
        <w:t xml:space="preserve">a sample of cases </w:t>
      </w:r>
      <w:r w:rsidR="00C50ADF" w:rsidRPr="002513B4">
        <w:t>comparing responses coded on the hardcopy questionnaire to</w:t>
      </w:r>
      <w:r w:rsidR="00EE74F9" w:rsidRPr="002513B4">
        <w:t xml:space="preserve"> the response</w:t>
      </w:r>
      <w:r w:rsidR="00C50ADF" w:rsidRPr="002513B4">
        <w:t xml:space="preserve"> code</w:t>
      </w:r>
      <w:r w:rsidR="00EE74F9" w:rsidRPr="002513B4">
        <w:t xml:space="preserve">s that appear on the </w:t>
      </w:r>
      <w:r w:rsidR="00D818AA" w:rsidRPr="002513B4">
        <w:t>XML data file</w:t>
      </w:r>
      <w:r w:rsidR="00EE74F9" w:rsidRPr="002513B4">
        <w:t xml:space="preserve">. This quality control step will ensure that the responses included in the </w:t>
      </w:r>
      <w:r w:rsidR="00D818AA" w:rsidRPr="002513B4">
        <w:t>XML data file</w:t>
      </w:r>
      <w:r w:rsidR="00EE74F9" w:rsidRPr="002513B4">
        <w:t>s accurately reflect the sample patients’ responses to the survey questions.</w:t>
      </w:r>
    </w:p>
    <w:p w14:paraId="59FD5898" w14:textId="77777777" w:rsidR="00C50ADF" w:rsidRPr="002513B4" w:rsidRDefault="005F4247" w:rsidP="00676DC6">
      <w:pPr>
        <w:pStyle w:val="ListBullet2"/>
        <w:spacing w:after="120"/>
      </w:pPr>
      <w:r w:rsidRPr="002513B4">
        <w:t xml:space="preserve">Review </w:t>
      </w:r>
      <w:r w:rsidR="00C50ADF" w:rsidRPr="002513B4">
        <w:t>a sample of cases with a noncomplete final code (i.e., cases with a final disposition other than 110 or 310) against the original source of information that resulted in the case being finalized. This could include reviewing vendor’s toll-free telephone number call-in tracker, handwritten notes on mail survey, white mail, etc.</w:t>
      </w:r>
    </w:p>
    <w:p w14:paraId="673C9469" w14:textId="77777777" w:rsidR="00EE74F9" w:rsidRPr="002513B4" w:rsidRDefault="00EE74F9" w:rsidP="00EE74F9">
      <w:pPr>
        <w:pStyle w:val="ListBullet"/>
      </w:pPr>
      <w:r w:rsidRPr="002513B4">
        <w:rPr>
          <w:rFonts w:eastAsia="Calibri"/>
        </w:rPr>
        <w:t>Vendors are urged to develop a way to measure error rates for their data receipt staff (in terms of recognizing marginal notes and passing these on to someone for review), for data entry or scanning operators, and for coders. Vendors should then work with their staff t</w:t>
      </w:r>
      <w:r w:rsidRPr="00676DC6">
        <w:t>o</w:t>
      </w:r>
      <w:r w:rsidRPr="002513B4">
        <w:rPr>
          <w:rFonts w:eastAsia="Calibri"/>
        </w:rPr>
        <w:t xml:space="preserve"> minimize error rates. The Coordination Team will request information about data receipt and processing error rates during site visits to survey vendors.</w:t>
      </w:r>
    </w:p>
    <w:p w14:paraId="1A166E24" w14:textId="634143D2" w:rsidR="00EE74F9" w:rsidRPr="002513B4" w:rsidRDefault="00EE74F9" w:rsidP="00C40D67">
      <w:pPr>
        <w:pStyle w:val="0BlankPage"/>
        <w:jc w:val="left"/>
      </w:pPr>
      <w:r w:rsidRPr="002513B4">
        <w:br w:type="page"/>
      </w:r>
    </w:p>
    <w:p w14:paraId="698C276E" w14:textId="77777777" w:rsidR="00EE74F9" w:rsidRPr="002513B4" w:rsidRDefault="00EE74F9" w:rsidP="00EE74F9">
      <w:pPr>
        <w:pStyle w:val="BodyText"/>
        <w:rPr>
          <w:lang w:val="en-US"/>
        </w:rPr>
        <w:sectPr w:rsidR="00EE74F9" w:rsidRPr="002513B4" w:rsidSect="00C85F17">
          <w:headerReference w:type="default" r:id="rId85"/>
          <w:pgSz w:w="12240" w:h="15840" w:code="1"/>
          <w:pgMar w:top="1440" w:right="1440" w:bottom="1440" w:left="1440" w:header="720" w:footer="720" w:gutter="0"/>
          <w:cols w:space="720"/>
          <w:titlePg/>
        </w:sectPr>
      </w:pPr>
    </w:p>
    <w:p w14:paraId="40D18452" w14:textId="36DFDC5E" w:rsidR="00EE74F9" w:rsidRPr="002513B4" w:rsidRDefault="009F27F5" w:rsidP="00EE74F9">
      <w:pPr>
        <w:pStyle w:val="Heading2"/>
        <w:rPr>
          <w:lang w:val="en-US"/>
        </w:rPr>
      </w:pPr>
      <w:bookmarkStart w:id="192" w:name="_Toc224984419"/>
      <w:bookmarkStart w:id="193" w:name="_Toc343765411"/>
      <w:bookmarkStart w:id="194" w:name="_Toc402776483"/>
      <w:bookmarkStart w:id="195" w:name="_Toc217305585"/>
      <w:r w:rsidRPr="002513B4">
        <w:rPr>
          <w:lang w:val="en-US"/>
        </w:rPr>
        <w:lastRenderedPageBreak/>
        <w:t>Chapter</w:t>
      </w:r>
      <w:r w:rsidR="00DB1D47" w:rsidRPr="002513B4">
        <w:rPr>
          <w:lang w:val="en-US"/>
        </w:rPr>
        <w:t xml:space="preserve"> 6:</w:t>
      </w:r>
      <w:r w:rsidR="00EE74F9" w:rsidRPr="002513B4">
        <w:rPr>
          <w:lang w:val="en-US"/>
        </w:rPr>
        <w:t xml:space="preserve"> Telephone-Only Administration Procedures</w:t>
      </w:r>
      <w:bookmarkEnd w:id="192"/>
      <w:bookmarkEnd w:id="193"/>
      <w:bookmarkEnd w:id="194"/>
      <w:bookmarkEnd w:id="195"/>
    </w:p>
    <w:p w14:paraId="40CE2411" w14:textId="3382FDB8" w:rsidR="00EE74F9" w:rsidRPr="002513B4" w:rsidRDefault="00DB1D47" w:rsidP="00EE74F9">
      <w:pPr>
        <w:pStyle w:val="Heading3"/>
        <w:rPr>
          <w:lang w:val="en-US"/>
        </w:rPr>
      </w:pPr>
      <w:bookmarkStart w:id="196" w:name="_Toc251318149"/>
      <w:bookmarkStart w:id="197" w:name="_Toc407633072"/>
      <w:bookmarkStart w:id="198" w:name="_Toc24713349"/>
      <w:bookmarkStart w:id="199" w:name="_Toc217305586"/>
      <w:r w:rsidRPr="002513B4">
        <w:rPr>
          <w:lang w:val="en-US"/>
        </w:rPr>
        <w:t>6.1</w:t>
      </w:r>
      <w:r w:rsidRPr="002513B4">
        <w:rPr>
          <w:lang w:val="en-US"/>
        </w:rPr>
        <w:tab/>
      </w:r>
      <w:r w:rsidR="00EE74F9" w:rsidRPr="002513B4">
        <w:rPr>
          <w:lang w:val="en-US"/>
        </w:rPr>
        <w:t>Overview</w:t>
      </w:r>
      <w:bookmarkEnd w:id="196"/>
      <w:bookmarkEnd w:id="197"/>
      <w:bookmarkEnd w:id="198"/>
      <w:bookmarkEnd w:id="199"/>
    </w:p>
    <w:tbl>
      <w:tblPr>
        <w:tblStyle w:val="TableGrid"/>
        <w:tblpPr w:leftFromText="187" w:rightFromText="187" w:vertAnchor="text" w:tblpXSpec="right" w:tblpY="43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BA45BD" w:rsidRPr="002513B4" w14:paraId="6C196378" w14:textId="77777777">
        <w:tc>
          <w:tcPr>
            <w:tcW w:w="5035" w:type="dxa"/>
            <w:shd w:val="clear" w:color="auto" w:fill="F79646"/>
          </w:tcPr>
          <w:p w14:paraId="21D46452" w14:textId="779C1CAC" w:rsidR="00BA45BD" w:rsidRPr="002513B4" w:rsidRDefault="0023510E">
            <w:pPr>
              <w:pStyle w:val="BodyText"/>
              <w:rPr>
                <w:lang w:val="en-US"/>
              </w:rPr>
            </w:pPr>
            <w:r>
              <w:rPr>
                <w:lang w:val="en-US"/>
              </w:rPr>
              <w:t> </w:t>
            </w:r>
          </w:p>
        </w:tc>
      </w:tr>
      <w:tr w:rsidR="00BA45BD" w:rsidRPr="002513B4" w14:paraId="094712C6" w14:textId="77777777">
        <w:tc>
          <w:tcPr>
            <w:tcW w:w="5035" w:type="dxa"/>
          </w:tcPr>
          <w:p w14:paraId="2509EFF3" w14:textId="5485BA23" w:rsidR="00BA45BD" w:rsidRPr="002513B4" w:rsidRDefault="00BA45BD">
            <w:pPr>
              <w:rPr>
                <w:i/>
                <w:iCs/>
                <w:caps/>
                <w:color w:val="1F497D"/>
                <w:sz w:val="26"/>
                <w:szCs w:val="26"/>
              </w:rPr>
            </w:pPr>
            <w:r w:rsidRPr="002513B4">
              <w:rPr>
                <w:i/>
                <w:iCs/>
                <w:color w:val="1F497D"/>
              </w:rPr>
              <w:t xml:space="preserve">All references to HHCAHPS Survey instrument and corresponding question numbers in this chapter reflect the revised HHCAHPS Survey instrument CMS plans to roll out with the </w:t>
            </w:r>
            <w:r w:rsidRPr="002513B4">
              <w:rPr>
                <w:b/>
                <w:bCs/>
                <w:i/>
                <w:iCs/>
                <w:color w:val="1F497D"/>
              </w:rPr>
              <w:t>April</w:t>
            </w:r>
            <w:r w:rsidR="001B1C8D" w:rsidRPr="002513B4">
              <w:rPr>
                <w:b/>
                <w:bCs/>
                <w:i/>
                <w:iCs/>
                <w:color w:val="1F497D"/>
              </w:rPr>
              <w:t> </w:t>
            </w:r>
            <w:r w:rsidRPr="002513B4">
              <w:rPr>
                <w:b/>
                <w:bCs/>
                <w:i/>
                <w:iCs/>
                <w:color w:val="1F497D"/>
              </w:rPr>
              <w:t>2026</w:t>
            </w:r>
            <w:r w:rsidRPr="002513B4">
              <w:rPr>
                <w:i/>
                <w:iCs/>
                <w:color w:val="1F497D"/>
              </w:rPr>
              <w:t xml:space="preserve"> sample month.</w:t>
            </w:r>
          </w:p>
        </w:tc>
      </w:tr>
    </w:tbl>
    <w:p w14:paraId="3F4A77B1" w14:textId="1664FAF3" w:rsidR="00EE74F9" w:rsidRPr="002513B4" w:rsidRDefault="00C10DB5" w:rsidP="00EE74F9">
      <w:pPr>
        <w:pStyle w:val="BodyText"/>
        <w:rPr>
          <w:lang w:val="en-US"/>
        </w:rPr>
      </w:pPr>
      <w:r w:rsidRPr="002513B4">
        <w:rPr>
          <w:lang w:val="en-US"/>
        </w:rPr>
        <w:t>T</w:t>
      </w:r>
      <w:r w:rsidR="00EE74F9" w:rsidRPr="002513B4">
        <w:rPr>
          <w:lang w:val="en-US"/>
        </w:rPr>
        <w:t>his chapter describes the requirements and guidelines for implementing the telephone-only mode of survey administration for the HHCAHPS Survey. The chapter begins with a discussion of the telephone-only data collection schedule, followed by a discussion of the requirements for producing all telephone interviewing materials and systems. It includes guidelines on how the telephone interview should be developed and administered, including general interviewing guidelines and frequently asked questions that interviewers may encounter. This chapter also provides suggestions for data processing procedures and incorporating quality control activities into the telephone-only mode of survey administration.</w:t>
      </w:r>
    </w:p>
    <w:p w14:paraId="26DEA123" w14:textId="697F1DC5" w:rsidR="00EE74F9" w:rsidRPr="002513B4" w:rsidRDefault="00DB1D47" w:rsidP="00EE74F9">
      <w:pPr>
        <w:pStyle w:val="Heading3"/>
        <w:rPr>
          <w:lang w:val="en-US"/>
        </w:rPr>
      </w:pPr>
      <w:bookmarkStart w:id="200" w:name="_Toc224984421"/>
      <w:bookmarkStart w:id="201" w:name="_Toc251318150"/>
      <w:bookmarkStart w:id="202" w:name="_Toc407633073"/>
      <w:bookmarkStart w:id="203" w:name="_Toc24713350"/>
      <w:bookmarkStart w:id="204" w:name="_Toc217305587"/>
      <w:r w:rsidRPr="002513B4">
        <w:rPr>
          <w:lang w:val="en-US"/>
        </w:rPr>
        <w:t>6.2</w:t>
      </w:r>
      <w:r w:rsidRPr="002513B4">
        <w:rPr>
          <w:lang w:val="en-US"/>
        </w:rPr>
        <w:tab/>
      </w:r>
      <w:r w:rsidR="00EE74F9" w:rsidRPr="002513B4">
        <w:rPr>
          <w:lang w:val="en-US"/>
        </w:rPr>
        <w:t>Data Collection Schedule</w:t>
      </w:r>
      <w:bookmarkEnd w:id="200"/>
      <w:bookmarkEnd w:id="201"/>
      <w:bookmarkEnd w:id="202"/>
      <w:bookmarkEnd w:id="203"/>
      <w:bookmarkEnd w:id="204"/>
    </w:p>
    <w:p w14:paraId="45D87B67" w14:textId="77777777" w:rsidR="00EE74F9" w:rsidRPr="002513B4" w:rsidRDefault="00EE74F9" w:rsidP="00EE74F9">
      <w:pPr>
        <w:pStyle w:val="BodyText"/>
        <w:rPr>
          <w:lang w:val="en-US"/>
        </w:rPr>
      </w:pPr>
      <w:r w:rsidRPr="002513B4">
        <w:rPr>
          <w:lang w:val="en-US"/>
        </w:rPr>
        <w:t>If the HHCAHPS</w:t>
      </w:r>
      <w:r w:rsidRPr="002513B4" w:rsidDel="008834AF">
        <w:rPr>
          <w:lang w:val="en-US"/>
        </w:rPr>
        <w:t xml:space="preserve"> </w:t>
      </w:r>
      <w:r w:rsidRPr="002513B4">
        <w:rPr>
          <w:lang w:val="en-US"/>
        </w:rPr>
        <w:t>Survey is being administered as a telephone-only survey, data collection for each sample member must be initiated no later than 3 weeks (21 days) after the close of the sample month.</w:t>
      </w:r>
    </w:p>
    <w:p w14:paraId="1D030765" w14:textId="77777777" w:rsidR="00EE74F9" w:rsidRPr="002513B4" w:rsidRDefault="00EE74F9" w:rsidP="00EE74F9">
      <w:pPr>
        <w:pStyle w:val="BodyText"/>
        <w:rPr>
          <w:lang w:val="en-US"/>
        </w:rPr>
      </w:pPr>
      <w:r w:rsidRPr="002513B4">
        <w:rPr>
          <w:b/>
          <w:i/>
          <w:lang w:val="en-US"/>
        </w:rPr>
        <w:t>Table 6.1</w:t>
      </w:r>
      <w:r w:rsidRPr="002513B4">
        <w:rPr>
          <w:lang w:val="en-US"/>
        </w:rPr>
        <w:t xml:space="preserve"> shows the prescribed order of activities and timing for an all-telephone HHCAHPS Survey.</w:t>
      </w:r>
    </w:p>
    <w:p w14:paraId="183F7387" w14:textId="6DBB09D0" w:rsidR="00EE74F9" w:rsidRPr="002513B4" w:rsidRDefault="00EE74F9" w:rsidP="00677D85">
      <w:pPr>
        <w:pStyle w:val="TableCaption"/>
      </w:pPr>
      <w:bookmarkStart w:id="205" w:name="_Toc224984596"/>
      <w:bookmarkStart w:id="206" w:name="_Toc251139829"/>
      <w:bookmarkStart w:id="207" w:name="_Toc314215237"/>
      <w:bookmarkStart w:id="208" w:name="_Toc407633138"/>
      <w:bookmarkStart w:id="209" w:name="_Toc24713424"/>
      <w:bookmarkStart w:id="210" w:name="_Toc217024912"/>
      <w:r w:rsidRPr="002513B4">
        <w:t>Table 6.1</w:t>
      </w:r>
      <w:r w:rsidR="003264F7" w:rsidRPr="002513B4">
        <w:t xml:space="preserve"> </w:t>
      </w:r>
      <w:r w:rsidRPr="002513B4">
        <w:t>Prescribed Order of Activities and Timing for an All-Telephone HHCAHPS</w:t>
      </w:r>
      <w:r w:rsidRPr="002513B4" w:rsidDel="008834AF">
        <w:t xml:space="preserve"> </w:t>
      </w:r>
      <w:r w:rsidRPr="002513B4">
        <w:t>Survey</w:t>
      </w:r>
      <w:bookmarkEnd w:id="205"/>
      <w:bookmarkEnd w:id="206"/>
      <w:bookmarkEnd w:id="207"/>
      <w:bookmarkEnd w:id="208"/>
      <w:bookmarkEnd w:id="209"/>
      <w:bookmarkEnd w:id="210"/>
    </w:p>
    <w:tbl>
      <w:tblPr>
        <w:tblW w:w="9360" w:type="dxa"/>
        <w:tblLayout w:type="fixed"/>
        <w:tblCellMar>
          <w:left w:w="115" w:type="dxa"/>
          <w:right w:w="115" w:type="dxa"/>
        </w:tblCellMar>
        <w:tblLook w:val="01E0" w:firstRow="1" w:lastRow="1" w:firstColumn="1" w:lastColumn="1" w:noHBand="0" w:noVBand="0"/>
        <w:tblCaption w:val="Phone-Only Administration Schedule"/>
        <w:tblDescription w:val="Table 6-1 lists the activities telephone-only vendors must follow to administer the HHCAHPS Survey and the timeframe for each"/>
      </w:tblPr>
      <w:tblGrid>
        <w:gridCol w:w="3877"/>
        <w:gridCol w:w="5483"/>
      </w:tblGrid>
      <w:tr w:rsidR="00EE74F9" w:rsidRPr="002513B4" w14:paraId="15CD7B1F" w14:textId="77777777" w:rsidTr="003264F7">
        <w:trPr>
          <w:cantSplit/>
          <w:tblHeader/>
        </w:trPr>
        <w:tc>
          <w:tcPr>
            <w:tcW w:w="3877" w:type="dxa"/>
            <w:tcBorders>
              <w:top w:val="single" w:sz="8" w:space="0" w:color="auto"/>
              <w:bottom w:val="single" w:sz="8" w:space="0" w:color="auto"/>
            </w:tcBorders>
            <w:shd w:val="clear" w:color="auto" w:fill="1F497D"/>
            <w:vAlign w:val="bottom"/>
          </w:tcPr>
          <w:p w14:paraId="553FC09B" w14:textId="77777777" w:rsidR="00EE74F9" w:rsidRPr="002513B4" w:rsidRDefault="00EE74F9" w:rsidP="00FF0BFB">
            <w:pPr>
              <w:pStyle w:val="TableHeaders"/>
              <w:rPr>
                <w:color w:val="FFFFFF" w:themeColor="background1"/>
                <w:sz w:val="18"/>
                <w:szCs w:val="18"/>
              </w:rPr>
            </w:pPr>
            <w:r w:rsidRPr="002513B4">
              <w:rPr>
                <w:color w:val="FFFFFF" w:themeColor="background1"/>
                <w:sz w:val="18"/>
                <w:szCs w:val="18"/>
              </w:rPr>
              <w:t>Activity</w:t>
            </w:r>
          </w:p>
        </w:tc>
        <w:tc>
          <w:tcPr>
            <w:tcW w:w="5483" w:type="dxa"/>
            <w:tcBorders>
              <w:top w:val="single" w:sz="8" w:space="0" w:color="auto"/>
              <w:bottom w:val="single" w:sz="8" w:space="0" w:color="auto"/>
            </w:tcBorders>
            <w:shd w:val="clear" w:color="auto" w:fill="1F497D"/>
            <w:vAlign w:val="bottom"/>
          </w:tcPr>
          <w:p w14:paraId="09CCEDDA" w14:textId="77777777" w:rsidR="00EE74F9" w:rsidRPr="002513B4" w:rsidRDefault="00EE74F9" w:rsidP="00FF0BFB">
            <w:pPr>
              <w:pStyle w:val="TableHeaders"/>
              <w:rPr>
                <w:color w:val="FFFFFF" w:themeColor="background1"/>
                <w:sz w:val="18"/>
                <w:szCs w:val="18"/>
              </w:rPr>
            </w:pPr>
            <w:r w:rsidRPr="002513B4">
              <w:rPr>
                <w:color w:val="FFFFFF" w:themeColor="background1"/>
                <w:sz w:val="18"/>
                <w:szCs w:val="18"/>
              </w:rPr>
              <w:t>Timing</w:t>
            </w:r>
          </w:p>
        </w:tc>
      </w:tr>
      <w:tr w:rsidR="00EE74F9" w:rsidRPr="002513B4" w14:paraId="13295B4A" w14:textId="77777777" w:rsidTr="003264F7">
        <w:trPr>
          <w:cantSplit/>
        </w:trPr>
        <w:tc>
          <w:tcPr>
            <w:tcW w:w="3877" w:type="dxa"/>
            <w:tcBorders>
              <w:top w:val="single" w:sz="8" w:space="0" w:color="auto"/>
            </w:tcBorders>
          </w:tcPr>
          <w:p w14:paraId="06F90D36" w14:textId="77777777" w:rsidR="00EE74F9" w:rsidRPr="002513B4" w:rsidRDefault="00EE74F9" w:rsidP="00C553FE">
            <w:pPr>
              <w:pStyle w:val="TableText"/>
              <w:keepNext/>
              <w:rPr>
                <w:sz w:val="18"/>
                <w:szCs w:val="18"/>
              </w:rPr>
            </w:pPr>
            <w:r w:rsidRPr="002513B4">
              <w:rPr>
                <w:sz w:val="18"/>
                <w:szCs w:val="18"/>
              </w:rPr>
              <w:t>Begin telephone contact with sample members</w:t>
            </w:r>
          </w:p>
        </w:tc>
        <w:tc>
          <w:tcPr>
            <w:tcW w:w="5483" w:type="dxa"/>
            <w:tcBorders>
              <w:top w:val="single" w:sz="8" w:space="0" w:color="auto"/>
            </w:tcBorders>
          </w:tcPr>
          <w:p w14:paraId="1B7C85E5" w14:textId="77777777" w:rsidR="00EE74F9" w:rsidRPr="002513B4" w:rsidRDefault="00EE74F9" w:rsidP="00C553FE">
            <w:pPr>
              <w:pStyle w:val="TableText"/>
              <w:keepNext/>
              <w:rPr>
                <w:sz w:val="18"/>
                <w:szCs w:val="18"/>
              </w:rPr>
            </w:pPr>
            <w:r w:rsidRPr="002513B4">
              <w:rPr>
                <w:sz w:val="18"/>
                <w:szCs w:val="18"/>
              </w:rPr>
              <w:t>No later than 3 weeks (21 days) after the close of the sample month</w:t>
            </w:r>
          </w:p>
        </w:tc>
      </w:tr>
      <w:tr w:rsidR="00EE74F9" w:rsidRPr="002513B4" w14:paraId="1835FF26" w14:textId="77777777" w:rsidTr="003264F7">
        <w:trPr>
          <w:cantSplit/>
        </w:trPr>
        <w:tc>
          <w:tcPr>
            <w:tcW w:w="3877" w:type="dxa"/>
          </w:tcPr>
          <w:p w14:paraId="349FE918" w14:textId="77777777" w:rsidR="00EE74F9" w:rsidRPr="002513B4" w:rsidRDefault="00EE74F9" w:rsidP="00C553FE">
            <w:pPr>
              <w:pStyle w:val="TableText"/>
              <w:keepNext/>
              <w:rPr>
                <w:sz w:val="18"/>
                <w:szCs w:val="18"/>
              </w:rPr>
            </w:pPr>
            <w:r w:rsidRPr="002513B4">
              <w:rPr>
                <w:sz w:val="18"/>
                <w:szCs w:val="18"/>
              </w:rPr>
              <w:t>Complete telephone data collection</w:t>
            </w:r>
          </w:p>
        </w:tc>
        <w:tc>
          <w:tcPr>
            <w:tcW w:w="5483" w:type="dxa"/>
          </w:tcPr>
          <w:p w14:paraId="75BE14EF" w14:textId="77777777" w:rsidR="00EE74F9" w:rsidRPr="002513B4" w:rsidRDefault="00EE74F9" w:rsidP="00C553FE">
            <w:pPr>
              <w:pStyle w:val="TableText"/>
              <w:keepNext/>
              <w:rPr>
                <w:sz w:val="18"/>
                <w:szCs w:val="18"/>
              </w:rPr>
            </w:pPr>
            <w:r w:rsidRPr="002513B4">
              <w:rPr>
                <w:sz w:val="18"/>
                <w:szCs w:val="18"/>
              </w:rPr>
              <w:t>Six weeks (42 days) after initial telephone contact begins</w:t>
            </w:r>
          </w:p>
        </w:tc>
      </w:tr>
      <w:tr w:rsidR="00EE74F9" w:rsidRPr="002513B4" w14:paraId="63A90B6B" w14:textId="77777777" w:rsidTr="003264F7">
        <w:trPr>
          <w:cantSplit/>
        </w:trPr>
        <w:tc>
          <w:tcPr>
            <w:tcW w:w="3877" w:type="dxa"/>
          </w:tcPr>
          <w:p w14:paraId="6A8A250D" w14:textId="7541E807" w:rsidR="00EE74F9" w:rsidRPr="002513B4" w:rsidRDefault="00EE74F9" w:rsidP="00C553FE">
            <w:pPr>
              <w:pStyle w:val="TableText"/>
              <w:rPr>
                <w:sz w:val="18"/>
                <w:szCs w:val="18"/>
              </w:rPr>
            </w:pPr>
            <w:r w:rsidRPr="002513B4">
              <w:rPr>
                <w:sz w:val="18"/>
                <w:szCs w:val="18"/>
              </w:rPr>
              <w:t xml:space="preserve">Submit </w:t>
            </w:r>
            <w:r w:rsidR="00D818AA" w:rsidRPr="002513B4">
              <w:rPr>
                <w:sz w:val="18"/>
                <w:szCs w:val="18"/>
              </w:rPr>
              <w:t xml:space="preserve">XML </w:t>
            </w:r>
            <w:r w:rsidRPr="002513B4">
              <w:rPr>
                <w:sz w:val="18"/>
                <w:szCs w:val="18"/>
              </w:rPr>
              <w:t xml:space="preserve">data files to the </w:t>
            </w:r>
            <w:r w:rsidR="00216F33" w:rsidRPr="002513B4">
              <w:rPr>
                <w:sz w:val="18"/>
                <w:szCs w:val="18"/>
              </w:rPr>
              <w:t xml:space="preserve">HHCAHPS </w:t>
            </w:r>
          </w:p>
        </w:tc>
        <w:tc>
          <w:tcPr>
            <w:tcW w:w="5483" w:type="dxa"/>
          </w:tcPr>
          <w:p w14:paraId="50BC522B" w14:textId="77777777" w:rsidR="00EE74F9" w:rsidRPr="002513B4" w:rsidRDefault="00EE74F9" w:rsidP="00C553FE">
            <w:pPr>
              <w:pStyle w:val="TableText"/>
              <w:keepNext/>
              <w:rPr>
                <w:sz w:val="18"/>
                <w:szCs w:val="18"/>
              </w:rPr>
            </w:pPr>
            <w:r w:rsidRPr="002513B4">
              <w:rPr>
                <w:sz w:val="18"/>
                <w:szCs w:val="18"/>
              </w:rPr>
              <w:t>See quarterly data submission deadlines on the HHCAHPS</w:t>
            </w:r>
            <w:r w:rsidRPr="002513B4" w:rsidDel="008834AF">
              <w:rPr>
                <w:sz w:val="18"/>
                <w:szCs w:val="18"/>
              </w:rPr>
              <w:t xml:space="preserve"> </w:t>
            </w:r>
            <w:r w:rsidRPr="002513B4">
              <w:rPr>
                <w:sz w:val="18"/>
                <w:szCs w:val="18"/>
              </w:rPr>
              <w:t>Survey website</w:t>
            </w:r>
          </w:p>
        </w:tc>
      </w:tr>
      <w:tr w:rsidR="003264F7" w:rsidRPr="002513B4" w14:paraId="7C5829D1" w14:textId="77777777" w:rsidTr="003264F7">
        <w:trPr>
          <w:cantSplit/>
        </w:trPr>
        <w:tc>
          <w:tcPr>
            <w:tcW w:w="3877" w:type="dxa"/>
            <w:tcBorders>
              <w:bottom w:val="single" w:sz="8" w:space="0" w:color="auto"/>
            </w:tcBorders>
          </w:tcPr>
          <w:p w14:paraId="62A22F28" w14:textId="702EC454" w:rsidR="003264F7" w:rsidRPr="002513B4" w:rsidRDefault="003264F7" w:rsidP="00C553FE">
            <w:pPr>
              <w:pStyle w:val="TableText"/>
              <w:rPr>
                <w:sz w:val="18"/>
                <w:szCs w:val="18"/>
              </w:rPr>
            </w:pPr>
            <w:r w:rsidRPr="002513B4">
              <w:rPr>
                <w:sz w:val="18"/>
                <w:szCs w:val="18"/>
              </w:rPr>
              <w:t>Survey Data Center via the HHCAHPS Survey website</w:t>
            </w:r>
          </w:p>
        </w:tc>
        <w:tc>
          <w:tcPr>
            <w:tcW w:w="5483" w:type="dxa"/>
            <w:tcBorders>
              <w:bottom w:val="single" w:sz="8" w:space="0" w:color="auto"/>
            </w:tcBorders>
          </w:tcPr>
          <w:p w14:paraId="02F7ED53" w14:textId="394A1D25" w:rsidR="003264F7" w:rsidRPr="002513B4" w:rsidRDefault="003264F7" w:rsidP="00C553FE">
            <w:pPr>
              <w:pStyle w:val="TableText"/>
              <w:keepNext/>
              <w:rPr>
                <w:sz w:val="18"/>
                <w:szCs w:val="18"/>
              </w:rPr>
            </w:pPr>
            <w:r w:rsidRPr="002513B4">
              <w:rPr>
                <w:sz w:val="18"/>
                <w:szCs w:val="18"/>
              </w:rPr>
              <w:t>See quarterly data submission deadlines on the HHCAHPS</w:t>
            </w:r>
            <w:r w:rsidRPr="002513B4" w:rsidDel="008834AF">
              <w:rPr>
                <w:sz w:val="18"/>
                <w:szCs w:val="18"/>
              </w:rPr>
              <w:t xml:space="preserve"> </w:t>
            </w:r>
            <w:r w:rsidRPr="002513B4">
              <w:rPr>
                <w:sz w:val="18"/>
                <w:szCs w:val="18"/>
              </w:rPr>
              <w:t>Survey website</w:t>
            </w:r>
          </w:p>
        </w:tc>
      </w:tr>
    </w:tbl>
    <w:p w14:paraId="097EF75A" w14:textId="77777777" w:rsidR="00C40D67" w:rsidRDefault="00C40D67">
      <w:pPr>
        <w:spacing w:after="0" w:line="240" w:lineRule="auto"/>
        <w:rPr>
          <w:lang w:eastAsia="x-none"/>
        </w:rPr>
      </w:pPr>
      <w:bookmarkStart w:id="211" w:name="_Toc224984422"/>
      <w:r>
        <w:br w:type="page"/>
      </w:r>
    </w:p>
    <w:p w14:paraId="029D172D" w14:textId="77777777" w:rsidR="00EE74F9" w:rsidRPr="002513B4" w:rsidRDefault="00EE74F9" w:rsidP="00EE74F9">
      <w:pPr>
        <w:pStyle w:val="BodyText"/>
        <w:rPr>
          <w:lang w:val="en-US"/>
        </w:rPr>
      </w:pPr>
      <w:r w:rsidRPr="002513B4">
        <w:rPr>
          <w:lang w:val="en-US"/>
        </w:rPr>
        <w:lastRenderedPageBreak/>
        <w:t>If the 21st day of the month falls on a weekend or holiday, vendors should make every attempt to begin the survey on the business day prior to that weekend or holiday. However, it is acceptable to begin telephone calls on the first business day following the weekend or holiday if necessary.</w:t>
      </w:r>
    </w:p>
    <w:p w14:paraId="5F8EDBBC" w14:textId="02CD8395" w:rsidR="00EE74F9" w:rsidRPr="002513B4" w:rsidRDefault="00EE74F9" w:rsidP="00EE74F9">
      <w:pPr>
        <w:pStyle w:val="BodyText"/>
        <w:rPr>
          <w:lang w:val="en-US"/>
        </w:rPr>
      </w:pPr>
      <w:r w:rsidRPr="002513B4">
        <w:rPr>
          <w:lang w:val="en-US"/>
        </w:rPr>
        <w:t xml:space="preserve">As indicated in </w:t>
      </w:r>
      <w:r w:rsidRPr="002513B4">
        <w:rPr>
          <w:b/>
          <w:bCs/>
          <w:i/>
          <w:iCs/>
          <w:lang w:val="en-US"/>
        </w:rPr>
        <w:t>Chapter </w:t>
      </w:r>
      <w:r w:rsidR="00052BBA" w:rsidRPr="002513B4">
        <w:rPr>
          <w:b/>
          <w:bCs/>
          <w:i/>
          <w:iCs/>
          <w:lang w:val="en-US"/>
        </w:rPr>
        <w:t>4</w:t>
      </w:r>
      <w:r w:rsidRPr="002513B4">
        <w:rPr>
          <w:lang w:val="en-US"/>
        </w:rPr>
        <w:t xml:space="preserve">, HHCAHPS Survey vendors must make a concerted effort to initiate the survey for each sample month within 21 days after the sample month ends. If for some reason the survey cannot be initiated within 21 days after the sample month ends, the vendor can initiate the survey within 26 days after the sample month ends. The vendors must complete and submit a Discrepancy Notification Report if the survey is initiated within 26 days after the sample month closes. If the survey cannot be initiated within 26 days after the close of the sample month, CMS may allow the survey to be initiated more than 26 days after the sample month ended. However, survey vendors must submit a request via email </w:t>
      </w:r>
      <w:r w:rsidR="002F57A6" w:rsidRPr="002513B4">
        <w:rPr>
          <w:lang w:val="en-US"/>
        </w:rPr>
        <w:t xml:space="preserve">(to </w:t>
      </w:r>
      <w:hyperlink r:id="rId86" w:history="1">
        <w:r w:rsidR="002F57A6" w:rsidRPr="002513B4">
          <w:rPr>
            <w:rStyle w:val="Hyperlink"/>
            <w:lang w:val="en-US"/>
          </w:rPr>
          <w:t>hhcahps@rti.org</w:t>
        </w:r>
      </w:hyperlink>
      <w:r w:rsidR="002F57A6" w:rsidRPr="002513B4">
        <w:rPr>
          <w:lang w:val="en-US"/>
        </w:rPr>
        <w:t xml:space="preserve">) </w:t>
      </w:r>
      <w:r w:rsidRPr="002513B4">
        <w:rPr>
          <w:lang w:val="en-US"/>
        </w:rPr>
        <w:t>for approval from CMS to initiate the survey more than 26 days after the sample month ends.</w:t>
      </w:r>
    </w:p>
    <w:p w14:paraId="06909298" w14:textId="1155162C" w:rsidR="00216F33" w:rsidRPr="002513B4" w:rsidRDefault="00216F33" w:rsidP="00E22288">
      <w:pPr>
        <w:pStyle w:val="BodyText"/>
        <w:rPr>
          <w:lang w:val="en-US"/>
        </w:rPr>
      </w:pPr>
      <w:r w:rsidRPr="002513B4">
        <w:rPr>
          <w:lang w:val="en-US"/>
        </w:rPr>
        <w:t xml:space="preserve">As noted in </w:t>
      </w:r>
      <w:r w:rsidRPr="002513B4">
        <w:rPr>
          <w:b/>
          <w:i/>
          <w:lang w:val="en-US"/>
        </w:rPr>
        <w:t>Table 6.1</w:t>
      </w:r>
      <w:r w:rsidRPr="002513B4">
        <w:rPr>
          <w:lang w:val="en-US"/>
        </w:rPr>
        <w:t xml:space="preserve">, data collection must be closed 42 calendar days after the telephone survey begins. Note as well that the deadline for </w:t>
      </w:r>
      <w:r w:rsidR="00D26775" w:rsidRPr="002513B4">
        <w:rPr>
          <w:lang w:val="en-US"/>
        </w:rPr>
        <w:t xml:space="preserve">quarterly </w:t>
      </w:r>
      <w:r w:rsidRPr="002513B4">
        <w:rPr>
          <w:lang w:val="en-US"/>
        </w:rPr>
        <w:t>data submission is constant. This deadline will not shift later if the vendor starts data collection late.</w:t>
      </w:r>
    </w:p>
    <w:p w14:paraId="73548CC9" w14:textId="1CE318EC" w:rsidR="00EE74F9" w:rsidRPr="002513B4" w:rsidRDefault="00DB1D47" w:rsidP="00EE74F9">
      <w:pPr>
        <w:pStyle w:val="Heading3"/>
        <w:rPr>
          <w:lang w:val="en-US"/>
        </w:rPr>
      </w:pPr>
      <w:bookmarkStart w:id="212" w:name="_Toc251318151"/>
      <w:bookmarkStart w:id="213" w:name="_Toc407633074"/>
      <w:bookmarkStart w:id="214" w:name="_Toc24713351"/>
      <w:bookmarkStart w:id="215" w:name="_Toc217305588"/>
      <w:bookmarkEnd w:id="211"/>
      <w:r w:rsidRPr="002513B4">
        <w:rPr>
          <w:lang w:val="en-US"/>
        </w:rPr>
        <w:t>6.3</w:t>
      </w:r>
      <w:r w:rsidRPr="002513B4">
        <w:rPr>
          <w:lang w:val="en-US"/>
        </w:rPr>
        <w:tab/>
      </w:r>
      <w:r w:rsidR="00EE74F9" w:rsidRPr="002513B4">
        <w:rPr>
          <w:lang w:val="en-US"/>
        </w:rPr>
        <w:t xml:space="preserve">Telephone </w:t>
      </w:r>
      <w:bookmarkEnd w:id="212"/>
      <w:bookmarkEnd w:id="213"/>
      <w:r w:rsidR="00EE74F9" w:rsidRPr="002513B4">
        <w:rPr>
          <w:lang w:val="en-US"/>
        </w:rPr>
        <w:t>Instrument and Systems Requirements</w:t>
      </w:r>
      <w:bookmarkEnd w:id="214"/>
      <w:bookmarkEnd w:id="215"/>
    </w:p>
    <w:p w14:paraId="0DA9E45F" w14:textId="2AF24E9F" w:rsidR="00EE74F9" w:rsidRPr="002513B4" w:rsidRDefault="00EE74F9" w:rsidP="00EE74F9">
      <w:pPr>
        <w:pStyle w:val="BodyText"/>
        <w:rPr>
          <w:lang w:val="en-US"/>
        </w:rPr>
      </w:pPr>
      <w:r w:rsidRPr="002513B4">
        <w:rPr>
          <w:lang w:val="en-US"/>
        </w:rPr>
        <w:t xml:space="preserve">The following paragraphs describe the requirements for producing all materials and systems needed for the telephone-only survey. The telephone script </w:t>
      </w:r>
      <w:r w:rsidR="002B2D8B" w:rsidRPr="002513B4">
        <w:rPr>
          <w:lang w:val="en-US"/>
        </w:rPr>
        <w:t xml:space="preserve">for interviews with sampled patients </w:t>
      </w:r>
      <w:r w:rsidRPr="002513B4">
        <w:rPr>
          <w:lang w:val="en-US"/>
        </w:rPr>
        <w:t xml:space="preserve">and the telephone script for interviews with proxy respondents in English, Spanish, Russian, and Vietnamese are available on the </w:t>
      </w:r>
      <w:hyperlink r:id="rId87" w:history="1">
        <w:r w:rsidR="009C77D5" w:rsidRPr="002513B4">
          <w:rPr>
            <w:rStyle w:val="Hyperlink"/>
            <w:lang w:val="en-US"/>
          </w:rPr>
          <w:t>Survey and Protocols web</w:t>
        </w:r>
        <w:r w:rsidR="00DB4C5C" w:rsidRPr="002513B4">
          <w:rPr>
            <w:rStyle w:val="Hyperlink"/>
            <w:lang w:val="en-US"/>
          </w:rPr>
          <w:t xml:space="preserve"> </w:t>
        </w:r>
        <w:r w:rsidR="009C77D5"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586FFFE7" wp14:editId="5BB91E34">
            <wp:extent cx="95250" cy="95250"/>
            <wp:effectExtent l="0" t="0" r="0" b="0"/>
            <wp:docPr id="203353867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rPr>
          <w:lang w:val="en-US"/>
        </w:rPr>
        <w:t xml:space="preserve"> of the </w:t>
      </w:r>
      <w:r w:rsidRPr="002513B4">
        <w:rPr>
          <w:lang w:val="en-US"/>
        </w:rPr>
        <w:t>HHCAHPS</w:t>
      </w:r>
      <w:r w:rsidRPr="002513B4" w:rsidDel="008834AF">
        <w:rPr>
          <w:lang w:val="en-US"/>
        </w:rPr>
        <w:t xml:space="preserve"> </w:t>
      </w:r>
      <w:r w:rsidRPr="002513B4">
        <w:rPr>
          <w:lang w:val="en-US"/>
        </w:rPr>
        <w:t>Survey website. Note that although Chinese-language and Armenian-language versions of the mail survey instrument are available, the HHCAHPS</w:t>
      </w:r>
      <w:r w:rsidRPr="002513B4" w:rsidDel="008834AF">
        <w:rPr>
          <w:lang w:val="en-US"/>
        </w:rPr>
        <w:t xml:space="preserve"> </w:t>
      </w:r>
      <w:r w:rsidRPr="002513B4">
        <w:rPr>
          <w:lang w:val="en-US"/>
        </w:rPr>
        <w:t>Survey cannot be administered</w:t>
      </w:r>
      <w:r w:rsidR="00F0503D" w:rsidRPr="002513B4">
        <w:rPr>
          <w:lang w:val="en-US"/>
        </w:rPr>
        <w:t xml:space="preserve"> by telephone </w:t>
      </w:r>
      <w:r w:rsidRPr="002513B4">
        <w:rPr>
          <w:lang w:val="en-US"/>
        </w:rPr>
        <w:t>in Chinese or Armenian.</w:t>
      </w:r>
    </w:p>
    <w:p w14:paraId="785A6B42" w14:textId="2CBEF225" w:rsidR="00F0503D" w:rsidRPr="002513B4" w:rsidRDefault="00F0503D" w:rsidP="00EE74F9">
      <w:pPr>
        <w:pStyle w:val="BodyText"/>
        <w:rPr>
          <w:lang w:val="en-US"/>
        </w:rPr>
      </w:pPr>
      <w:r w:rsidRPr="002513B4">
        <w:rPr>
          <w:lang w:val="en-US"/>
        </w:rPr>
        <w:t>The HHCAHPS</w:t>
      </w:r>
      <w:r w:rsidR="002913DF" w:rsidRPr="002513B4">
        <w:rPr>
          <w:lang w:val="en-US"/>
        </w:rPr>
        <w:t xml:space="preserve"> Survey</w:t>
      </w:r>
      <w:r w:rsidRPr="002513B4">
        <w:rPr>
          <w:lang w:val="en-US"/>
        </w:rPr>
        <w:t xml:space="preserve"> Coordination team has made several telephone survey resources available for vendors on the </w:t>
      </w:r>
      <w:hyperlink r:id="rId88" w:history="1">
        <w:r w:rsidR="009C77D5" w:rsidRPr="002513B4">
          <w:rPr>
            <w:rStyle w:val="Hyperlink"/>
            <w:lang w:val="en-US"/>
          </w:rPr>
          <w:t>Survey and Protocols web</w:t>
        </w:r>
        <w:r w:rsidR="00DB4C5C" w:rsidRPr="002513B4">
          <w:rPr>
            <w:rStyle w:val="Hyperlink"/>
            <w:lang w:val="en-US"/>
          </w:rPr>
          <w:t xml:space="preserve"> </w:t>
        </w:r>
        <w:r w:rsidR="009C77D5" w:rsidRPr="002513B4">
          <w:rPr>
            <w:rStyle w:val="Hyperlink"/>
            <w:lang w:val="en-US"/>
          </w:rPr>
          <w:t>page</w:t>
        </w:r>
      </w:hyperlink>
      <w:r w:rsidR="009C77D5" w:rsidRPr="002513B4">
        <w:rPr>
          <w:lang w:val="en-US"/>
        </w:rPr>
        <w:t> </w:t>
      </w:r>
      <w:r w:rsidR="009C77D5" w:rsidRPr="002513B4">
        <w:rPr>
          <w:noProof/>
          <w:lang w:val="en-US"/>
        </w:rPr>
        <w:drawing>
          <wp:inline distT="0" distB="0" distL="0" distR="0" wp14:anchorId="7B19D744" wp14:editId="29644EAE">
            <wp:extent cx="95250" cy="95250"/>
            <wp:effectExtent l="0" t="0" r="0" b="0"/>
            <wp:docPr id="161581318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9C77D5" w:rsidRPr="002513B4">
        <w:rPr>
          <w:lang w:val="en-US"/>
        </w:rPr>
        <w:t xml:space="preserve"> of the </w:t>
      </w:r>
      <w:r w:rsidRPr="002513B4">
        <w:rPr>
          <w:lang w:val="en-US"/>
        </w:rPr>
        <w:t xml:space="preserve">HHCAHPS website. We have provided links to these resources in </w:t>
      </w:r>
      <w:r w:rsidRPr="002513B4">
        <w:rPr>
          <w:b/>
          <w:bCs/>
          <w:i/>
          <w:iCs/>
          <w:lang w:val="en-US"/>
        </w:rPr>
        <w:t>Appendix A</w:t>
      </w:r>
      <w:r w:rsidR="009C77D5" w:rsidRPr="002513B4">
        <w:rPr>
          <w:lang w:val="en-US"/>
        </w:rPr>
        <w:t>,</w:t>
      </w:r>
      <w:r w:rsidR="00A75CC2" w:rsidRPr="002513B4">
        <w:rPr>
          <w:lang w:val="en-US"/>
        </w:rPr>
        <w:t xml:space="preserve"> </w:t>
      </w:r>
      <w:r w:rsidRPr="002513B4">
        <w:rPr>
          <w:lang w:val="en-US"/>
        </w:rPr>
        <w:t>including:</w:t>
      </w:r>
      <w:r w:rsidR="00A75CC2" w:rsidRPr="002513B4">
        <w:rPr>
          <w:rStyle w:val="FootnoteReference"/>
          <w:lang w:val="en-US"/>
        </w:rPr>
        <w:t xml:space="preserve"> </w:t>
      </w:r>
      <w:r w:rsidR="00A75CC2" w:rsidRPr="002513B4">
        <w:rPr>
          <w:rStyle w:val="FootnoteReference"/>
          <w:lang w:val="en-US"/>
        </w:rPr>
        <w:footnoteReference w:id="8"/>
      </w:r>
      <w:r w:rsidR="00A75CC2" w:rsidRPr="002513B4">
        <w:rPr>
          <w:lang w:val="en-US"/>
        </w:rPr>
        <w:t xml:space="preserve"> </w:t>
      </w:r>
      <w:r w:rsidRPr="002513B4">
        <w:rPr>
          <w:lang w:val="en-US"/>
        </w:rPr>
        <w:t xml:space="preserve"> </w:t>
      </w:r>
    </w:p>
    <w:p w14:paraId="24F26D9C" w14:textId="19EB76A0" w:rsidR="00F0503D" w:rsidRPr="002513B4" w:rsidRDefault="00F0503D" w:rsidP="00FB0576">
      <w:pPr>
        <w:pStyle w:val="ListBullet"/>
      </w:pPr>
      <w:r w:rsidRPr="002513B4">
        <w:t>Copies of the telephone interview script and the script for use with proxy respondents in all available languages,</w:t>
      </w:r>
    </w:p>
    <w:p w14:paraId="26958415" w14:textId="5B6F542A" w:rsidR="00F0503D" w:rsidRPr="002513B4" w:rsidRDefault="00F0503D" w:rsidP="00FB0576">
      <w:pPr>
        <w:pStyle w:val="ListBullet"/>
      </w:pPr>
      <w:r w:rsidRPr="002513B4">
        <w:t>A list of sample member frequently asked questions and answers,</w:t>
      </w:r>
    </w:p>
    <w:p w14:paraId="0D8F9C78" w14:textId="77777777" w:rsidR="004D2361" w:rsidRPr="002513B4" w:rsidRDefault="00F0503D" w:rsidP="00FB0576">
      <w:pPr>
        <w:pStyle w:val="ListBullet"/>
      </w:pPr>
      <w:r w:rsidRPr="002513B4">
        <w:lastRenderedPageBreak/>
        <w:t>General guidelines for telephone interviewer training and monitoring.</w:t>
      </w:r>
      <w:r w:rsidR="006A3F66" w:rsidRPr="002513B4">
        <w:t xml:space="preserve"> </w:t>
      </w:r>
    </w:p>
    <w:p w14:paraId="396C78B8" w14:textId="59726E8D" w:rsidR="00EE74F9" w:rsidRPr="002513B4" w:rsidRDefault="00EE74F9" w:rsidP="004D2361">
      <w:pPr>
        <w:pStyle w:val="BodyText"/>
        <w:contextualSpacing/>
        <w:rPr>
          <w:lang w:val="en-US"/>
        </w:rPr>
      </w:pPr>
      <w:r w:rsidRPr="002513B4">
        <w:rPr>
          <w:lang w:val="en-US"/>
        </w:rPr>
        <w:t>Specific requirements and guidelines associated with the telephone survey administration are discussed below.</w:t>
      </w:r>
    </w:p>
    <w:p w14:paraId="115FF1A7" w14:textId="6E19D653" w:rsidR="00EE74F9" w:rsidRPr="002513B4" w:rsidRDefault="00DB1D47" w:rsidP="00EE74F9">
      <w:pPr>
        <w:pStyle w:val="Heading4"/>
        <w:rPr>
          <w:lang w:val="en-US"/>
        </w:rPr>
      </w:pPr>
      <w:r w:rsidRPr="002513B4">
        <w:rPr>
          <w:lang w:val="en-US"/>
        </w:rPr>
        <w:t>6.3.1</w:t>
      </w:r>
      <w:r w:rsidR="00FB0576" w:rsidRPr="002513B4">
        <w:rPr>
          <w:lang w:val="en-US"/>
        </w:rPr>
        <w:tab/>
      </w:r>
      <w:r w:rsidR="00EE74F9" w:rsidRPr="002513B4">
        <w:rPr>
          <w:lang w:val="en-US"/>
        </w:rPr>
        <w:t>Telephone Interviewing Systems</w:t>
      </w:r>
    </w:p>
    <w:p w14:paraId="28C66019" w14:textId="5A698EF7" w:rsidR="00EE74F9" w:rsidRPr="002513B4" w:rsidRDefault="00EE74F9" w:rsidP="00EE74F9">
      <w:pPr>
        <w:pStyle w:val="BodyText"/>
        <w:rPr>
          <w:lang w:val="en-US"/>
        </w:rPr>
      </w:pPr>
      <w:r w:rsidRPr="002513B4">
        <w:rPr>
          <w:lang w:val="en-US"/>
        </w:rPr>
        <w:t xml:space="preserve">An electronic telephone interviewing system means that the interviewer reads from and enters responses into a computer program. Using an electronic system encourages standardized interviewing and monitoring of interviewers. Survey vendors using </w:t>
      </w:r>
      <w:r w:rsidR="001B3D0D" w:rsidRPr="002513B4">
        <w:rPr>
          <w:lang w:val="en-US"/>
        </w:rPr>
        <w:t>the</w:t>
      </w:r>
      <w:r w:rsidRPr="002513B4">
        <w:rPr>
          <w:lang w:val="en-US"/>
        </w:rPr>
        <w:t xml:space="preserve"> telephone-only survey mode must use an electronic system to administer the HHCAHPS</w:t>
      </w:r>
      <w:r w:rsidRPr="002513B4" w:rsidDel="008834AF">
        <w:rPr>
          <w:lang w:val="en-US"/>
        </w:rPr>
        <w:t xml:space="preserve"> </w:t>
      </w:r>
      <w:r w:rsidRPr="002513B4">
        <w:rPr>
          <w:lang w:val="en-US"/>
        </w:rPr>
        <w:t xml:space="preserve">Survey. </w:t>
      </w:r>
      <w:r w:rsidRPr="002513B4">
        <w:rPr>
          <w:b/>
          <w:i/>
          <w:lang w:val="en-US"/>
        </w:rPr>
        <w:t>Paper-and-pencil administration is not permitted for telephone surveys</w:t>
      </w:r>
      <w:r w:rsidRPr="002513B4">
        <w:rPr>
          <w:lang w:val="en-US"/>
        </w:rPr>
        <w:t xml:space="preserve">. To ensure that sample members are called at different times of the day and across multiple days of the week, vendors must also have a </w:t>
      </w:r>
      <w:r w:rsidR="003A72D1" w:rsidRPr="002513B4">
        <w:rPr>
          <w:lang w:val="en-US"/>
        </w:rPr>
        <w:t xml:space="preserve">case </w:t>
      </w:r>
      <w:r w:rsidRPr="002513B4">
        <w:rPr>
          <w:lang w:val="en-US"/>
        </w:rPr>
        <w:t xml:space="preserve">management system. </w:t>
      </w:r>
      <w:r w:rsidR="001C0057" w:rsidRPr="002513B4">
        <w:rPr>
          <w:lang w:val="en-US"/>
        </w:rPr>
        <w:t xml:space="preserve">The HHCAHPS </w:t>
      </w:r>
      <w:r w:rsidR="002913DF" w:rsidRPr="002513B4">
        <w:rPr>
          <w:lang w:val="en-US"/>
        </w:rPr>
        <w:t xml:space="preserve">Survey </w:t>
      </w:r>
      <w:r w:rsidR="001C0057" w:rsidRPr="002513B4">
        <w:rPr>
          <w:lang w:val="en-US"/>
        </w:rPr>
        <w:t xml:space="preserve">Coordination team strongly recommends that </w:t>
      </w:r>
      <w:r w:rsidRPr="002513B4">
        <w:rPr>
          <w:lang w:val="en-US"/>
        </w:rPr>
        <w:t xml:space="preserve"> the electronic </w:t>
      </w:r>
      <w:r w:rsidR="00D51BFB" w:rsidRPr="002513B4">
        <w:rPr>
          <w:lang w:val="en-US"/>
        </w:rPr>
        <w:t xml:space="preserve">interviewing </w:t>
      </w:r>
      <w:r w:rsidRPr="002513B4">
        <w:rPr>
          <w:lang w:val="en-US"/>
        </w:rPr>
        <w:t xml:space="preserve">system be linked to the </w:t>
      </w:r>
      <w:r w:rsidR="003A72D1" w:rsidRPr="002513B4">
        <w:rPr>
          <w:lang w:val="en-US"/>
        </w:rPr>
        <w:t xml:space="preserve">case </w:t>
      </w:r>
      <w:r w:rsidRPr="002513B4">
        <w:rPr>
          <w:lang w:val="en-US"/>
        </w:rPr>
        <w:t>management system so that cases can be tracked, appointments set and called back at appropriate times, and pending and final case status easily accessed for any case.</w:t>
      </w:r>
    </w:p>
    <w:p w14:paraId="5D615D0C" w14:textId="77777777" w:rsidR="00EE74F9" w:rsidRPr="002513B4" w:rsidRDefault="00EE74F9" w:rsidP="00EE74F9">
      <w:pPr>
        <w:pStyle w:val="BodyText"/>
        <w:keepNext/>
        <w:rPr>
          <w:lang w:val="en-US"/>
        </w:rPr>
      </w:pPr>
      <w:r w:rsidRPr="002513B4">
        <w:rPr>
          <w:lang w:val="en-US"/>
        </w:rPr>
        <w:t>There are two additional requirements as follows:</w:t>
      </w:r>
    </w:p>
    <w:p w14:paraId="7B3B7783" w14:textId="1C96F1CB" w:rsidR="00EE74F9" w:rsidRPr="002513B4" w:rsidRDefault="00EE74F9" w:rsidP="00EE74F9">
      <w:pPr>
        <w:pStyle w:val="ListBullet"/>
      </w:pPr>
      <w:bookmarkStart w:id="216" w:name="_Hlk121409865"/>
      <w:r w:rsidRPr="002513B4">
        <w:t xml:space="preserve">Predictive or automatic dialers are permitted, </w:t>
      </w:r>
      <w:proofErr w:type="gramStart"/>
      <w:r w:rsidRPr="002513B4">
        <w:t>as long as</w:t>
      </w:r>
      <w:proofErr w:type="gramEnd"/>
      <w:r w:rsidRPr="002513B4">
        <w:t xml:space="preserve"> they are compliant with Federal Trade Commission </w:t>
      </w:r>
      <w:r w:rsidR="006D56E8" w:rsidRPr="002513B4">
        <w:t xml:space="preserve">(FTC) </w:t>
      </w:r>
      <w:r w:rsidRPr="002513B4">
        <w:t xml:space="preserve">and Federal Communications Commission </w:t>
      </w:r>
      <w:r w:rsidR="006D56E8" w:rsidRPr="002513B4">
        <w:t xml:space="preserve">(FCC) </w:t>
      </w:r>
      <w:r w:rsidRPr="002513B4">
        <w:t>regulations, and as long as respondents can easily interact with a live interviewer. For more information</w:t>
      </w:r>
      <w:r w:rsidR="006D56E8" w:rsidRPr="002513B4">
        <w:t xml:space="preserve"> about the regulations,</w:t>
      </w:r>
      <w:r w:rsidRPr="002513B4">
        <w:t xml:space="preserve"> </w:t>
      </w:r>
      <w:r w:rsidR="006D56E8" w:rsidRPr="002513B4">
        <w:t xml:space="preserve">please visit the </w:t>
      </w:r>
      <w:hyperlink r:id="rId89" w:history="1">
        <w:r w:rsidR="006D56E8" w:rsidRPr="002513B4">
          <w:rPr>
            <w:rStyle w:val="Hyperlink"/>
          </w:rPr>
          <w:t>FTC website</w:t>
        </w:r>
      </w:hyperlink>
      <w:r w:rsidRPr="002513B4">
        <w:t xml:space="preserve"> and </w:t>
      </w:r>
      <w:r w:rsidR="006D56E8" w:rsidRPr="002513B4">
        <w:t xml:space="preserve">the </w:t>
      </w:r>
      <w:hyperlink r:id="rId90" w:history="1">
        <w:r w:rsidR="006D56E8" w:rsidRPr="002513B4">
          <w:rPr>
            <w:rStyle w:val="Hyperlink"/>
          </w:rPr>
          <w:t>FCC website</w:t>
        </w:r>
      </w:hyperlink>
      <w:r w:rsidR="006D56E8" w:rsidRPr="002513B4">
        <w:t>.</w:t>
      </w:r>
    </w:p>
    <w:p w14:paraId="3364DAD8" w14:textId="41B8BF48" w:rsidR="00EE74F9" w:rsidRPr="002513B4" w:rsidRDefault="00EE74F9" w:rsidP="00EE74F9">
      <w:pPr>
        <w:pStyle w:val="ListBullet"/>
      </w:pPr>
      <w:r w:rsidRPr="002513B4">
        <w:rPr>
          <w:b/>
          <w:bCs/>
        </w:rPr>
        <w:t>Indication of cell phone</w:t>
      </w:r>
      <w:r w:rsidRPr="002513B4">
        <w:t xml:space="preserve"> is needed for phone-only</w:t>
      </w:r>
      <w:r w:rsidR="00811EFC" w:rsidRPr="002513B4">
        <w:t xml:space="preserve"> and mixed-mode</w:t>
      </w:r>
      <w:r w:rsidRPr="002513B4">
        <w:t xml:space="preserve"> surveys</w:t>
      </w:r>
      <w:r w:rsidR="00D51BFB" w:rsidRPr="002513B4">
        <w:t xml:space="preserve"> if a predictive dialer is being used</w:t>
      </w:r>
      <w:r w:rsidRPr="002513B4">
        <w:t>. FCC</w:t>
      </w:r>
      <w:r w:rsidRPr="002513B4">
        <w:rPr>
          <w:spacing w:val="-21"/>
        </w:rPr>
        <w:t xml:space="preserve"> </w:t>
      </w:r>
      <w:r w:rsidRPr="002513B4">
        <w:t>regulations prohibit predictive-dialing of cell phone numbers. Therefore, cell phone numbers need to</w:t>
      </w:r>
      <w:r w:rsidRPr="002513B4">
        <w:rPr>
          <w:spacing w:val="-9"/>
        </w:rPr>
        <w:t xml:space="preserve"> </w:t>
      </w:r>
      <w:r w:rsidRPr="002513B4">
        <w:t>be identified in advance to allow the vendor to treat cell phone numbers in a way that</w:t>
      </w:r>
      <w:r w:rsidRPr="002513B4">
        <w:rPr>
          <w:spacing w:val="-16"/>
        </w:rPr>
        <w:t xml:space="preserve"> </w:t>
      </w:r>
      <w:r w:rsidRPr="002513B4">
        <w:t>complies with FCC regulations. Vendors are advised to familiarize themselves with all applicable</w:t>
      </w:r>
      <w:r w:rsidRPr="002513B4">
        <w:rPr>
          <w:spacing w:val="-23"/>
        </w:rPr>
        <w:t xml:space="preserve"> </w:t>
      </w:r>
      <w:r w:rsidRPr="002513B4">
        <w:t>state and federal laws. If the HHA is unable to advise the survey vendor as to which</w:t>
      </w:r>
      <w:r w:rsidRPr="002513B4">
        <w:rPr>
          <w:spacing w:val="-17"/>
        </w:rPr>
        <w:t xml:space="preserve"> </w:t>
      </w:r>
      <w:r w:rsidRPr="002513B4">
        <w:t>telephone numbers provided are cell phone numbers, it is the vendor’s responsibility to obtain an up-to-date list of cell phone numbers and land line numbers which</w:t>
      </w:r>
      <w:r w:rsidRPr="002513B4">
        <w:rPr>
          <w:spacing w:val="-12"/>
        </w:rPr>
        <w:t xml:space="preserve"> </w:t>
      </w:r>
      <w:r w:rsidRPr="002513B4">
        <w:t>have been ported to cell phone</w:t>
      </w:r>
      <w:r w:rsidR="001C0057" w:rsidRPr="002513B4">
        <w:t xml:space="preserve"> from</w:t>
      </w:r>
      <w:r w:rsidR="001C0057" w:rsidRPr="002513B4">
        <w:rPr>
          <w:spacing w:val="-17"/>
        </w:rPr>
        <w:t xml:space="preserve"> </w:t>
      </w:r>
      <w:r w:rsidR="001C0057" w:rsidRPr="002513B4">
        <w:t>an external source</w:t>
      </w:r>
      <w:r w:rsidRPr="002513B4">
        <w:t>. The external source must be compared</w:t>
      </w:r>
      <w:r w:rsidRPr="002513B4">
        <w:rPr>
          <w:spacing w:val="-13"/>
        </w:rPr>
        <w:t xml:space="preserve"> </w:t>
      </w:r>
      <w:r w:rsidRPr="002513B4">
        <w:t>to the phone numbers of the sampled patients to identify any phone numbers which are</w:t>
      </w:r>
      <w:r w:rsidRPr="002513B4">
        <w:rPr>
          <w:spacing w:val="-15"/>
        </w:rPr>
        <w:t xml:space="preserve"> </w:t>
      </w:r>
      <w:r w:rsidRPr="002513B4">
        <w:t>cell phones. Vendors must do this for each monthly sample.</w:t>
      </w:r>
      <w:r w:rsidR="009901EB" w:rsidRPr="002513B4">
        <w:t xml:space="preserve"> If </w:t>
      </w:r>
      <w:r w:rsidR="003701A5" w:rsidRPr="002513B4">
        <w:t xml:space="preserve">the vendor cannot determine if a </w:t>
      </w:r>
      <w:r w:rsidR="004503CC" w:rsidRPr="002513B4">
        <w:t xml:space="preserve">phone number is a cell phone number, the vendor should </w:t>
      </w:r>
      <w:r w:rsidR="00756AB4" w:rsidRPr="002513B4">
        <w:t>treat</w:t>
      </w:r>
      <w:r w:rsidR="004503CC" w:rsidRPr="002513B4">
        <w:t xml:space="preserve"> it </w:t>
      </w:r>
      <w:r w:rsidR="00756AB4" w:rsidRPr="002513B4">
        <w:t xml:space="preserve">like </w:t>
      </w:r>
      <w:r w:rsidR="004503CC" w:rsidRPr="002513B4">
        <w:t>a cell phone number</w:t>
      </w:r>
      <w:r w:rsidR="002E6155" w:rsidRPr="002513B4">
        <w:t xml:space="preserve"> as described above</w:t>
      </w:r>
      <w:r w:rsidR="009D79F6" w:rsidRPr="002513B4">
        <w:t>.</w:t>
      </w:r>
    </w:p>
    <w:bookmarkEnd w:id="216"/>
    <w:p w14:paraId="3F2C6CDB" w14:textId="64964066" w:rsidR="00EE74F9" w:rsidRPr="002513B4" w:rsidRDefault="00DB1D47" w:rsidP="00EE74F9">
      <w:pPr>
        <w:pStyle w:val="Heading4"/>
        <w:rPr>
          <w:lang w:val="en-US"/>
        </w:rPr>
      </w:pPr>
      <w:r w:rsidRPr="002513B4">
        <w:rPr>
          <w:lang w:val="en-US"/>
        </w:rPr>
        <w:lastRenderedPageBreak/>
        <w:t xml:space="preserve">6.3.2 </w:t>
      </w:r>
      <w:r w:rsidR="00FB0576" w:rsidRPr="002513B4">
        <w:rPr>
          <w:lang w:val="en-US"/>
        </w:rPr>
        <w:tab/>
      </w:r>
      <w:r w:rsidR="00EE74F9" w:rsidRPr="002513B4">
        <w:rPr>
          <w:lang w:val="en-US"/>
        </w:rPr>
        <w:t>Telephone Interview Script</w:t>
      </w:r>
    </w:p>
    <w:p w14:paraId="2658E5FA" w14:textId="345C3AC0" w:rsidR="00811EFC" w:rsidRPr="002513B4" w:rsidRDefault="001C0057" w:rsidP="00EE74F9">
      <w:pPr>
        <w:pStyle w:val="BodyText"/>
        <w:rPr>
          <w:lang w:val="en-US"/>
        </w:rPr>
      </w:pPr>
      <w:r w:rsidRPr="002513B4">
        <w:rPr>
          <w:lang w:val="en-US"/>
        </w:rPr>
        <w:t>CMS provides s</w:t>
      </w:r>
      <w:r w:rsidR="00EE74F9" w:rsidRPr="002513B4">
        <w:rPr>
          <w:lang w:val="en-US"/>
        </w:rPr>
        <w:t>urvey vendors with standardized telephone scripts</w:t>
      </w:r>
      <w:r w:rsidR="00811EFC" w:rsidRPr="002513B4">
        <w:rPr>
          <w:lang w:val="en-US"/>
        </w:rPr>
        <w:t xml:space="preserve"> </w:t>
      </w:r>
      <w:r w:rsidR="00FE2741" w:rsidRPr="002513B4">
        <w:rPr>
          <w:lang w:val="en-US"/>
        </w:rPr>
        <w:t xml:space="preserve">in each CMS-approved language on the </w:t>
      </w:r>
      <w:hyperlink r:id="rId91" w:history="1">
        <w:r w:rsidR="006D56E8" w:rsidRPr="002513B4">
          <w:rPr>
            <w:rStyle w:val="Hyperlink"/>
            <w:lang w:val="en-US"/>
          </w:rPr>
          <w:t>Survey and Protocols web</w:t>
        </w:r>
        <w:r w:rsidR="00DB4C5C" w:rsidRPr="002513B4">
          <w:rPr>
            <w:rStyle w:val="Hyperlink"/>
            <w:lang w:val="en-US"/>
          </w:rPr>
          <w:t xml:space="preserve"> </w:t>
        </w:r>
        <w:r w:rsidR="006D56E8" w:rsidRPr="002513B4">
          <w:rPr>
            <w:rStyle w:val="Hyperlink"/>
            <w:lang w:val="en-US"/>
          </w:rPr>
          <w:t>page</w:t>
        </w:r>
      </w:hyperlink>
      <w:r w:rsidR="006D56E8" w:rsidRPr="002513B4">
        <w:rPr>
          <w:lang w:val="en-US"/>
        </w:rPr>
        <w:t> </w:t>
      </w:r>
      <w:r w:rsidR="006D56E8" w:rsidRPr="002513B4">
        <w:rPr>
          <w:noProof/>
          <w:lang w:val="en-US"/>
        </w:rPr>
        <w:drawing>
          <wp:inline distT="0" distB="0" distL="0" distR="0" wp14:anchorId="4C3507C6" wp14:editId="1FDA3DA8">
            <wp:extent cx="95250" cy="95250"/>
            <wp:effectExtent l="0" t="0" r="0" b="0"/>
            <wp:docPr id="20154939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D56E8" w:rsidRPr="002513B4">
        <w:rPr>
          <w:lang w:val="en-US"/>
        </w:rPr>
        <w:t xml:space="preserve"> of the </w:t>
      </w:r>
      <w:r w:rsidR="00FE2741" w:rsidRPr="002513B4">
        <w:rPr>
          <w:lang w:val="en-US"/>
        </w:rPr>
        <w:t xml:space="preserve">HHCAHPS website and linked </w:t>
      </w:r>
      <w:r w:rsidR="00811EFC" w:rsidRPr="002513B4">
        <w:rPr>
          <w:lang w:val="en-US"/>
        </w:rPr>
        <w:t xml:space="preserve">in </w:t>
      </w:r>
      <w:r w:rsidR="00811EFC" w:rsidRPr="002513B4">
        <w:rPr>
          <w:b/>
          <w:i/>
          <w:lang w:val="en-US"/>
        </w:rPr>
        <w:t>Appendix </w:t>
      </w:r>
      <w:r w:rsidR="00FE2741" w:rsidRPr="002513B4">
        <w:rPr>
          <w:b/>
          <w:i/>
          <w:lang w:val="en-US"/>
        </w:rPr>
        <w:t>A</w:t>
      </w:r>
      <w:r w:rsidR="00EE74F9" w:rsidRPr="002513B4">
        <w:rPr>
          <w:lang w:val="en-US"/>
        </w:rPr>
        <w:t xml:space="preserve">. These scripts include the introductory screens, in addition to the survey questions. The survey can be administered as a standalone survey or </w:t>
      </w:r>
      <w:r w:rsidRPr="002513B4">
        <w:rPr>
          <w:lang w:val="en-US"/>
        </w:rPr>
        <w:t xml:space="preserve">may </w:t>
      </w:r>
      <w:r w:rsidR="00EE74F9" w:rsidRPr="002513B4">
        <w:rPr>
          <w:lang w:val="en-US"/>
        </w:rPr>
        <w:t>be combined with agency-specific questions</w:t>
      </w:r>
      <w:r w:rsidRPr="002513B4">
        <w:rPr>
          <w:lang w:val="en-US"/>
        </w:rPr>
        <w:t xml:space="preserve"> (see </w:t>
      </w:r>
      <w:r w:rsidRPr="002513B4">
        <w:rPr>
          <w:b/>
          <w:bCs/>
          <w:i/>
          <w:iCs/>
          <w:lang w:val="en-US"/>
        </w:rPr>
        <w:t>Section 6.3.3</w:t>
      </w:r>
      <w:r w:rsidR="007C5D38" w:rsidRPr="002513B4">
        <w:rPr>
          <w:lang w:val="en-US"/>
        </w:rPr>
        <w:t>)</w:t>
      </w:r>
      <w:r w:rsidR="00EE74F9" w:rsidRPr="002513B4">
        <w:rPr>
          <w:lang w:val="en-US"/>
        </w:rPr>
        <w:t xml:space="preserve">. </w:t>
      </w:r>
    </w:p>
    <w:p w14:paraId="3B7B682F" w14:textId="19B7428F" w:rsidR="00EE74F9" w:rsidRPr="002513B4" w:rsidRDefault="00EE74F9" w:rsidP="00EE74F9">
      <w:pPr>
        <w:pStyle w:val="BodyText"/>
        <w:rPr>
          <w:lang w:val="en-US"/>
        </w:rPr>
      </w:pPr>
      <w:r w:rsidRPr="002513B4">
        <w:rPr>
          <w:lang w:val="en-US"/>
        </w:rPr>
        <w:t xml:space="preserve">Note that the HHCAHPS telephone interview script contains only </w:t>
      </w:r>
      <w:r w:rsidR="00052BBA" w:rsidRPr="002513B4">
        <w:rPr>
          <w:lang w:val="en-US"/>
        </w:rPr>
        <w:t>23</w:t>
      </w:r>
      <w:r w:rsidRPr="002513B4">
        <w:rPr>
          <w:lang w:val="en-US"/>
        </w:rPr>
        <w:t xml:space="preserve"> </w:t>
      </w:r>
      <w:proofErr w:type="gramStart"/>
      <w:r w:rsidRPr="002513B4">
        <w:rPr>
          <w:lang w:val="en-US"/>
        </w:rPr>
        <w:t>questions</w:t>
      </w:r>
      <w:proofErr w:type="gramEnd"/>
      <w:r w:rsidRPr="002513B4">
        <w:rPr>
          <w:lang w:val="en-US"/>
        </w:rPr>
        <w:t xml:space="preserve"> and the mail survey contains </w:t>
      </w:r>
      <w:r w:rsidR="00052BBA" w:rsidRPr="002513B4">
        <w:rPr>
          <w:lang w:val="en-US"/>
        </w:rPr>
        <w:t>25</w:t>
      </w:r>
      <w:r w:rsidRPr="002513B4">
        <w:rPr>
          <w:lang w:val="en-US"/>
        </w:rPr>
        <w:t xml:space="preserve"> questions, because the mail survey questionnaire contains questions that ask if anyone helped the sample member to complete the survey (Questions </w:t>
      </w:r>
      <w:r w:rsidR="00052BBA" w:rsidRPr="002513B4">
        <w:rPr>
          <w:lang w:val="en-US"/>
        </w:rPr>
        <w:t>24</w:t>
      </w:r>
      <w:r w:rsidRPr="002513B4">
        <w:rPr>
          <w:lang w:val="en-US"/>
        </w:rPr>
        <w:t xml:space="preserve"> and </w:t>
      </w:r>
      <w:r w:rsidR="00052BBA" w:rsidRPr="002513B4">
        <w:rPr>
          <w:lang w:val="en-US"/>
        </w:rPr>
        <w:t>25</w:t>
      </w:r>
      <w:r w:rsidRPr="002513B4">
        <w:rPr>
          <w:lang w:val="en-US"/>
        </w:rPr>
        <w:t xml:space="preserve">). These two questions are not applicable if the survey is administered by telephone. However, the survey vendor must indicate on the </w:t>
      </w:r>
      <w:r w:rsidR="00811EFC" w:rsidRPr="002513B4">
        <w:rPr>
          <w:lang w:val="en-US"/>
        </w:rPr>
        <w:t xml:space="preserve">XML </w:t>
      </w:r>
      <w:r w:rsidRPr="002513B4">
        <w:rPr>
          <w:lang w:val="en-US"/>
        </w:rPr>
        <w:t>data file submitted to the HHCAHPS</w:t>
      </w:r>
      <w:r w:rsidRPr="002513B4" w:rsidDel="007A793B">
        <w:rPr>
          <w:lang w:val="en-US"/>
        </w:rPr>
        <w:t xml:space="preserve"> </w:t>
      </w:r>
      <w:r w:rsidRPr="002513B4">
        <w:rPr>
          <w:lang w:val="en-US"/>
        </w:rPr>
        <w:t>Data Center whether the phone interview was completed by a proxy respondent.</w:t>
      </w:r>
    </w:p>
    <w:p w14:paraId="0858AE0A" w14:textId="77777777" w:rsidR="00EE74F9" w:rsidRPr="002513B4" w:rsidRDefault="00EE74F9" w:rsidP="00EE74F9">
      <w:pPr>
        <w:pStyle w:val="BodyText"/>
        <w:keepNext/>
        <w:rPr>
          <w:lang w:val="en-US"/>
        </w:rPr>
      </w:pPr>
      <w:r w:rsidRPr="002513B4">
        <w:rPr>
          <w:lang w:val="en-US"/>
        </w:rPr>
        <w:t>Programming requirements for the HHCAHPS</w:t>
      </w:r>
      <w:r w:rsidRPr="002513B4" w:rsidDel="007A793B">
        <w:rPr>
          <w:lang w:val="en-US"/>
        </w:rPr>
        <w:t xml:space="preserve"> </w:t>
      </w:r>
      <w:r w:rsidRPr="002513B4">
        <w:rPr>
          <w:lang w:val="en-US"/>
        </w:rPr>
        <w:t>Survey telephone interview are listed below:</w:t>
      </w:r>
    </w:p>
    <w:p w14:paraId="4D197CBD" w14:textId="268123D2" w:rsidR="00EE74F9" w:rsidRPr="002513B4" w:rsidRDefault="00EE74F9" w:rsidP="00EE74F9">
      <w:pPr>
        <w:pStyle w:val="ListBullet"/>
      </w:pPr>
      <w:r w:rsidRPr="002513B4">
        <w:t xml:space="preserve">The </w:t>
      </w:r>
      <w:r w:rsidR="007C5D38" w:rsidRPr="002513B4">
        <w:t>core</w:t>
      </w:r>
      <w:r w:rsidRPr="002513B4">
        <w:t xml:space="preserve"> HHCAHPS</w:t>
      </w:r>
      <w:r w:rsidRPr="002513B4" w:rsidDel="007A793B">
        <w:t xml:space="preserve"> </w:t>
      </w:r>
      <w:r w:rsidRPr="002513B4">
        <w:t>Survey questions</w:t>
      </w:r>
      <w:r w:rsidR="00811EFC" w:rsidRPr="002513B4">
        <w:t xml:space="preserve"> (Questions 1 to </w:t>
      </w:r>
      <w:r w:rsidR="00052BBA" w:rsidRPr="002513B4">
        <w:t>17</w:t>
      </w:r>
      <w:r w:rsidR="00811EFC" w:rsidRPr="002513B4">
        <w:t>)</w:t>
      </w:r>
      <w:r w:rsidRPr="002513B4">
        <w:t xml:space="preserve"> must be administered first </w:t>
      </w:r>
      <w:proofErr w:type="spellStart"/>
      <w:r w:rsidRPr="002513B4">
        <w:t>and</w:t>
      </w:r>
      <w:proofErr w:type="spellEnd"/>
      <w:r w:rsidRPr="002513B4">
        <w:t xml:space="preserve"> in the order in which they appear—vendors cannot change the ordering of these </w:t>
      </w:r>
      <w:r w:rsidR="007C5D38" w:rsidRPr="002513B4">
        <w:t>core</w:t>
      </w:r>
      <w:r w:rsidRPr="002513B4">
        <w:t xml:space="preserve"> questions.</w:t>
      </w:r>
    </w:p>
    <w:p w14:paraId="65D346F5" w14:textId="77777777" w:rsidR="00EE74F9" w:rsidRPr="002513B4" w:rsidRDefault="00EE74F9" w:rsidP="00EE74F9">
      <w:pPr>
        <w:pStyle w:val="ListBullet"/>
      </w:pPr>
      <w:r w:rsidRPr="002513B4">
        <w:t xml:space="preserve">No changes in wording </w:t>
      </w:r>
      <w:r w:rsidR="00811EFC" w:rsidRPr="002513B4">
        <w:t xml:space="preserve">or order </w:t>
      </w:r>
      <w:r w:rsidRPr="002513B4">
        <w:t>are allowed for either the HHCAHPS Survey questions or to the response choices.</w:t>
      </w:r>
    </w:p>
    <w:p w14:paraId="75561F36" w14:textId="4442C704" w:rsidR="00EE74F9" w:rsidRPr="002513B4" w:rsidRDefault="00EE74F9" w:rsidP="00EE74F9">
      <w:pPr>
        <w:pStyle w:val="ListBullet"/>
      </w:pPr>
      <w:r w:rsidRPr="002513B4">
        <w:t>HHAs may add their own or the HHCAHPS Survey supplemental questions</w:t>
      </w:r>
      <w:r w:rsidR="00811EFC" w:rsidRPr="002513B4">
        <w:t xml:space="preserve"> </w:t>
      </w:r>
      <w:r w:rsidRPr="002513B4">
        <w:t>following the guidance below about adding supplemental questions.</w:t>
      </w:r>
      <w:r w:rsidR="007C5D38" w:rsidRPr="002513B4">
        <w:t xml:space="preserve"> Please see </w:t>
      </w:r>
      <w:r w:rsidR="007C5D38" w:rsidRPr="002513B4">
        <w:rPr>
          <w:b/>
          <w:bCs/>
          <w:i/>
          <w:iCs/>
        </w:rPr>
        <w:t>Appendix A</w:t>
      </w:r>
      <w:r w:rsidR="007C5D38" w:rsidRPr="002513B4">
        <w:t xml:space="preserve"> for a link to the supplemental questions on the HHCAHPS website.</w:t>
      </w:r>
    </w:p>
    <w:p w14:paraId="03F83E47" w14:textId="496C5730" w:rsidR="00EE74F9" w:rsidRPr="002513B4" w:rsidRDefault="00EE74F9" w:rsidP="00EE74F9">
      <w:pPr>
        <w:pStyle w:val="ListBullet"/>
      </w:pPr>
      <w:r w:rsidRPr="002513B4">
        <w:t>The “About You” questions</w:t>
      </w:r>
      <w:r w:rsidR="00811EFC" w:rsidRPr="002513B4">
        <w:t xml:space="preserve"> (Questions </w:t>
      </w:r>
      <w:r w:rsidR="00052BBA" w:rsidRPr="002513B4">
        <w:t>18</w:t>
      </w:r>
      <w:r w:rsidR="00811EFC" w:rsidRPr="002513B4">
        <w:t xml:space="preserve"> to </w:t>
      </w:r>
      <w:r w:rsidR="00052BBA" w:rsidRPr="002513B4">
        <w:t>23</w:t>
      </w:r>
      <w:r w:rsidR="00811EFC" w:rsidRPr="002513B4">
        <w:t>)</w:t>
      </w:r>
      <w:r w:rsidRPr="002513B4">
        <w:t xml:space="preserve"> must be administered as a </w:t>
      </w:r>
      <w:proofErr w:type="gramStart"/>
      <w:r w:rsidRPr="002513B4">
        <w:t>unit, but</w:t>
      </w:r>
      <w:proofErr w:type="gramEnd"/>
      <w:r w:rsidRPr="002513B4">
        <w:t xml:space="preserve"> may come before or after any HHA-specific questions.</w:t>
      </w:r>
      <w:r w:rsidR="0031557B" w:rsidRPr="002513B4">
        <w:t xml:space="preserve"> If the HHA does not plan to add supplemental questions to the questionnaire, the questions in the “About You” section should follow the core set of questions.</w:t>
      </w:r>
    </w:p>
    <w:p w14:paraId="6579CD62" w14:textId="77777777" w:rsidR="00EE74F9" w:rsidRPr="002513B4" w:rsidRDefault="00EE74F9" w:rsidP="00EE74F9">
      <w:pPr>
        <w:pStyle w:val="ListBullet"/>
      </w:pPr>
      <w:r w:rsidRPr="002513B4">
        <w:t>Only CMS-approved translations of the HHCAHPS Survey interview are permitted, although if agencies choose to add supplemental questions, vendors are responsible for translating these questions.</w:t>
      </w:r>
    </w:p>
    <w:p w14:paraId="0CC90D29" w14:textId="5146B243" w:rsidR="00EE74F9" w:rsidRPr="002513B4" w:rsidRDefault="00EE74F9" w:rsidP="00EE74F9">
      <w:pPr>
        <w:pStyle w:val="ListBullet"/>
      </w:pPr>
      <w:r w:rsidRPr="002513B4">
        <w:t>Vendors are required to administer th</w:t>
      </w:r>
      <w:r w:rsidR="007D0B02" w:rsidRPr="002513B4">
        <w:t>e proxy telephone</w:t>
      </w:r>
      <w:r w:rsidRPr="002513B4">
        <w:t xml:space="preserve"> script when conducting proxy interviews; therefore, this script must be programmed for electronic administration in each language the vendor offers.</w:t>
      </w:r>
      <w:r w:rsidR="007C5D38" w:rsidRPr="002513B4">
        <w:t xml:space="preserve"> A copy of the proxy telephone script </w:t>
      </w:r>
      <w:r w:rsidR="006D56E8" w:rsidRPr="002513B4">
        <w:t xml:space="preserve">is available on the </w:t>
      </w:r>
      <w:hyperlink r:id="rId93" w:history="1">
        <w:r w:rsidR="006D56E8" w:rsidRPr="002513B4">
          <w:rPr>
            <w:rStyle w:val="Hyperlink"/>
          </w:rPr>
          <w:t>Survey and Protocols web</w:t>
        </w:r>
        <w:r w:rsidR="00DB4C5C" w:rsidRPr="002513B4">
          <w:rPr>
            <w:rStyle w:val="Hyperlink"/>
          </w:rPr>
          <w:t xml:space="preserve"> </w:t>
        </w:r>
        <w:r w:rsidR="006D56E8" w:rsidRPr="002513B4">
          <w:rPr>
            <w:rStyle w:val="Hyperlink"/>
          </w:rPr>
          <w:t>page</w:t>
        </w:r>
      </w:hyperlink>
      <w:r w:rsidR="006D56E8" w:rsidRPr="002513B4">
        <w:t> </w:t>
      </w:r>
      <w:r w:rsidR="006D56E8" w:rsidRPr="002513B4">
        <w:rPr>
          <w:noProof/>
        </w:rPr>
        <w:drawing>
          <wp:inline distT="0" distB="0" distL="0" distR="0" wp14:anchorId="21ED4650" wp14:editId="33702FC4">
            <wp:extent cx="95250" cy="95250"/>
            <wp:effectExtent l="0" t="0" r="0" b="0"/>
            <wp:docPr id="106702667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D56E8" w:rsidRPr="002513B4">
        <w:t xml:space="preserve"> of the HHCAHPS website and</w:t>
      </w:r>
      <w:r w:rsidR="007C5D38" w:rsidRPr="002513B4">
        <w:t xml:space="preserve"> linked in </w:t>
      </w:r>
      <w:r w:rsidR="007C5D38" w:rsidRPr="002513B4">
        <w:rPr>
          <w:b/>
          <w:bCs/>
          <w:i/>
          <w:iCs/>
        </w:rPr>
        <w:t>Appendix A</w:t>
      </w:r>
      <w:r w:rsidR="007C5D38" w:rsidRPr="002513B4">
        <w:t>.</w:t>
      </w:r>
    </w:p>
    <w:p w14:paraId="180A883B" w14:textId="78A0CC0C" w:rsidR="00EE74F9" w:rsidRPr="002513B4" w:rsidRDefault="00EE74F9" w:rsidP="00EE74F9">
      <w:pPr>
        <w:pStyle w:val="ListBullet"/>
      </w:pPr>
      <w:r w:rsidRPr="002513B4">
        <w:t xml:space="preserve">Once the </w:t>
      </w:r>
      <w:r w:rsidR="001D5E94" w:rsidRPr="002513B4">
        <w:t xml:space="preserve">XML </w:t>
      </w:r>
      <w:r w:rsidRPr="002513B4">
        <w:t>data files are submitted to the</w:t>
      </w:r>
      <w:r w:rsidR="001D5E94" w:rsidRPr="002513B4">
        <w:t xml:space="preserve"> HHCAHPS </w:t>
      </w:r>
      <w:r w:rsidRPr="002513B4">
        <w:t>Data Center, survey vendors must indicate whether the interview was completed by a proxy respondent; therefore, the electronic interview should be programmed to indicate whether the interview was completed by the sample member or a proxy respondent.</w:t>
      </w:r>
    </w:p>
    <w:p w14:paraId="67190AF6" w14:textId="544A1651" w:rsidR="00EE74F9" w:rsidRPr="002513B4" w:rsidRDefault="00E0198E" w:rsidP="00EE74F9">
      <w:pPr>
        <w:pStyle w:val="Heading4"/>
        <w:rPr>
          <w:lang w:val="en-US"/>
        </w:rPr>
      </w:pPr>
      <w:r w:rsidRPr="002513B4">
        <w:rPr>
          <w:lang w:val="en-US"/>
        </w:rPr>
        <w:lastRenderedPageBreak/>
        <w:t>6.3.3</w:t>
      </w:r>
      <w:r w:rsidR="00634CA6">
        <w:rPr>
          <w:lang w:val="en-US"/>
        </w:rPr>
        <w:tab/>
      </w:r>
      <w:r w:rsidR="00EE74F9" w:rsidRPr="002513B4">
        <w:rPr>
          <w:lang w:val="en-US"/>
        </w:rPr>
        <w:t>Adding Supplemental Questions</w:t>
      </w:r>
    </w:p>
    <w:p w14:paraId="46C65CCD" w14:textId="2A953073" w:rsidR="00EE74F9" w:rsidRPr="002513B4" w:rsidRDefault="00EE74F9" w:rsidP="00EE74F9">
      <w:pPr>
        <w:pStyle w:val="BodyText"/>
        <w:rPr>
          <w:lang w:val="en-US"/>
        </w:rPr>
      </w:pPr>
      <w:r w:rsidRPr="002513B4">
        <w:rPr>
          <w:lang w:val="en-US"/>
        </w:rPr>
        <w:t xml:space="preserve">HHAs may </w:t>
      </w:r>
      <w:r w:rsidR="007C5D38" w:rsidRPr="002513B4">
        <w:rPr>
          <w:lang w:val="en-US"/>
        </w:rPr>
        <w:t xml:space="preserve">optionally </w:t>
      </w:r>
      <w:r w:rsidRPr="002513B4">
        <w:rPr>
          <w:lang w:val="en-US"/>
        </w:rPr>
        <w:t>wish to use</w:t>
      </w:r>
      <w:r w:rsidR="007C5D38" w:rsidRPr="002513B4">
        <w:rPr>
          <w:lang w:val="en-US"/>
        </w:rPr>
        <w:t xml:space="preserve"> the CMS-provided supplemental questions </w:t>
      </w:r>
      <w:r w:rsidR="006D56E8" w:rsidRPr="002513B4">
        <w:rPr>
          <w:lang w:val="en-US"/>
        </w:rPr>
        <w:t xml:space="preserve">available on the </w:t>
      </w:r>
      <w:hyperlink r:id="rId94" w:history="1">
        <w:r w:rsidR="006D56E8" w:rsidRPr="002513B4">
          <w:rPr>
            <w:rStyle w:val="Hyperlink"/>
            <w:lang w:val="en-US"/>
          </w:rPr>
          <w:t>Survey and Protocols web</w:t>
        </w:r>
        <w:r w:rsidR="00DB4C5C" w:rsidRPr="002513B4">
          <w:rPr>
            <w:rStyle w:val="Hyperlink"/>
            <w:lang w:val="en-US"/>
          </w:rPr>
          <w:t xml:space="preserve"> </w:t>
        </w:r>
        <w:r w:rsidR="006D56E8" w:rsidRPr="002513B4">
          <w:rPr>
            <w:rStyle w:val="Hyperlink"/>
            <w:lang w:val="en-US"/>
          </w:rPr>
          <w:t>page</w:t>
        </w:r>
      </w:hyperlink>
      <w:r w:rsidR="006D56E8" w:rsidRPr="002513B4">
        <w:rPr>
          <w:lang w:val="en-US"/>
        </w:rPr>
        <w:t> </w:t>
      </w:r>
      <w:r w:rsidR="006D56E8" w:rsidRPr="002513B4">
        <w:rPr>
          <w:noProof/>
          <w:lang w:val="en-US"/>
        </w:rPr>
        <w:drawing>
          <wp:inline distT="0" distB="0" distL="0" distR="0" wp14:anchorId="37648F66" wp14:editId="60617092">
            <wp:extent cx="95250" cy="95250"/>
            <wp:effectExtent l="0" t="0" r="0" b="0"/>
            <wp:docPr id="147351944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D56E8" w:rsidRPr="002513B4">
        <w:rPr>
          <w:lang w:val="en-US"/>
        </w:rPr>
        <w:t xml:space="preserve"> of the HHCAHPS website </w:t>
      </w:r>
      <w:r w:rsidRPr="002513B4">
        <w:rPr>
          <w:lang w:val="en-US"/>
        </w:rPr>
        <w:t xml:space="preserve">or add their own agency-specific questions to the HHCAHPS Survey </w:t>
      </w:r>
      <w:r w:rsidR="00B72953" w:rsidRPr="002513B4">
        <w:rPr>
          <w:lang w:val="en-US"/>
        </w:rPr>
        <w:t>telephone script</w:t>
      </w:r>
      <w:r w:rsidRPr="002513B4">
        <w:rPr>
          <w:lang w:val="en-US"/>
        </w:rPr>
        <w:t xml:space="preserve">. </w:t>
      </w:r>
      <w:r w:rsidR="007C5D38" w:rsidRPr="002513B4">
        <w:rPr>
          <w:lang w:val="en-US"/>
        </w:rPr>
        <w:t>O</w:t>
      </w:r>
      <w:r w:rsidRPr="002513B4">
        <w:rPr>
          <w:lang w:val="en-US"/>
        </w:rPr>
        <w:t xml:space="preserve">ne supplemental question </w:t>
      </w:r>
      <w:r w:rsidRPr="002513B4">
        <w:rPr>
          <w:b/>
          <w:bCs/>
          <w:lang w:val="en-US"/>
        </w:rPr>
        <w:t>must</w:t>
      </w:r>
      <w:r w:rsidRPr="002513B4">
        <w:rPr>
          <w:lang w:val="en-US"/>
        </w:rPr>
        <w:t xml:space="preserve"> be included in the </w:t>
      </w:r>
      <w:r w:rsidR="00B72953" w:rsidRPr="002513B4">
        <w:rPr>
          <w:lang w:val="en-US"/>
        </w:rPr>
        <w:t xml:space="preserve">script </w:t>
      </w:r>
      <w:r w:rsidRPr="002513B4">
        <w:rPr>
          <w:lang w:val="en-US"/>
        </w:rPr>
        <w:t xml:space="preserve">if the HHA wishes to view the survey responses linked to the respondents’ name and other identifying information. The survey question, referred to as the Consent to Share Responses, must be included in the telephone </w:t>
      </w:r>
      <w:r w:rsidR="00B72953" w:rsidRPr="002513B4">
        <w:rPr>
          <w:lang w:val="en-US"/>
        </w:rPr>
        <w:t>script</w:t>
      </w:r>
      <w:r w:rsidRPr="002513B4">
        <w:rPr>
          <w:lang w:val="en-US"/>
        </w:rPr>
        <w:t xml:space="preserve"> and the respondent must answer “Yes” to this question for the vendor to </w:t>
      </w:r>
      <w:r w:rsidR="001D5E94" w:rsidRPr="002513B4">
        <w:rPr>
          <w:lang w:val="en-US"/>
        </w:rPr>
        <w:t>link</w:t>
      </w:r>
      <w:r w:rsidRPr="002513B4">
        <w:rPr>
          <w:lang w:val="en-US"/>
        </w:rPr>
        <w:t xml:space="preserve"> the respondent’s answers </w:t>
      </w:r>
      <w:r w:rsidR="001D5E94" w:rsidRPr="002513B4">
        <w:rPr>
          <w:lang w:val="en-US"/>
        </w:rPr>
        <w:t>with</w:t>
      </w:r>
      <w:r w:rsidRPr="002513B4">
        <w:rPr>
          <w:lang w:val="en-US"/>
        </w:rPr>
        <w:t xml:space="preserve"> his or her name and</w:t>
      </w:r>
      <w:r w:rsidR="001D5E94" w:rsidRPr="002513B4">
        <w:rPr>
          <w:lang w:val="en-US"/>
        </w:rPr>
        <w:t>/or</w:t>
      </w:r>
      <w:r w:rsidRPr="002513B4">
        <w:rPr>
          <w:lang w:val="en-US"/>
        </w:rPr>
        <w:t xml:space="preserve"> other identifying information. The Consent to Share Responses question is available in all </w:t>
      </w:r>
      <w:r w:rsidR="00B72953" w:rsidRPr="002513B4">
        <w:rPr>
          <w:lang w:val="en-US"/>
        </w:rPr>
        <w:t xml:space="preserve">CMS-approved </w:t>
      </w:r>
      <w:r w:rsidRPr="002513B4">
        <w:rPr>
          <w:lang w:val="en-US"/>
        </w:rPr>
        <w:t xml:space="preserve">languages on the </w:t>
      </w:r>
      <w:hyperlink r:id="rId95" w:history="1">
        <w:r w:rsidR="006D56E8" w:rsidRPr="002513B4">
          <w:rPr>
            <w:rStyle w:val="Hyperlink"/>
            <w:lang w:val="en-US"/>
          </w:rPr>
          <w:t>Survey and Protocols web</w:t>
        </w:r>
        <w:r w:rsidR="00DB4C5C" w:rsidRPr="002513B4">
          <w:rPr>
            <w:rStyle w:val="Hyperlink"/>
            <w:lang w:val="en-US"/>
          </w:rPr>
          <w:t xml:space="preserve"> </w:t>
        </w:r>
        <w:r w:rsidR="006D56E8" w:rsidRPr="002513B4">
          <w:rPr>
            <w:rStyle w:val="Hyperlink"/>
            <w:lang w:val="en-US"/>
          </w:rPr>
          <w:t>page</w:t>
        </w:r>
      </w:hyperlink>
      <w:r w:rsidR="006D56E8" w:rsidRPr="002513B4">
        <w:rPr>
          <w:lang w:val="en-US"/>
        </w:rPr>
        <w:t> </w:t>
      </w:r>
      <w:r w:rsidR="006D56E8" w:rsidRPr="002513B4">
        <w:rPr>
          <w:noProof/>
          <w:lang w:val="en-US"/>
        </w:rPr>
        <w:drawing>
          <wp:inline distT="0" distB="0" distL="0" distR="0" wp14:anchorId="03EFCA26" wp14:editId="7EBA1E92">
            <wp:extent cx="95250" cy="95250"/>
            <wp:effectExtent l="0" t="0" r="0" b="0"/>
            <wp:docPr id="109954557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D56E8" w:rsidRPr="002513B4">
        <w:rPr>
          <w:lang w:val="en-US"/>
        </w:rPr>
        <w:t xml:space="preserve"> of the </w:t>
      </w:r>
      <w:r w:rsidRPr="002513B4">
        <w:rPr>
          <w:lang w:val="en-US"/>
        </w:rPr>
        <w:t xml:space="preserve">HHCAHPS Survey website. </w:t>
      </w:r>
    </w:p>
    <w:p w14:paraId="42E311B8" w14:textId="17635F21" w:rsidR="00EE74F9" w:rsidRPr="002513B4" w:rsidRDefault="00EE74F9" w:rsidP="00EE74F9">
      <w:pPr>
        <w:pStyle w:val="BodyText"/>
        <w:keepNext/>
        <w:rPr>
          <w:lang w:val="en-US"/>
        </w:rPr>
      </w:pPr>
      <w:r w:rsidRPr="002513B4">
        <w:rPr>
          <w:lang w:val="en-US"/>
        </w:rPr>
        <w:t>Guidance for adding the HHCAHPS Survey supplemental questions and the Consent to Share Responses question</w:t>
      </w:r>
      <w:r w:rsidR="007C5D38" w:rsidRPr="002513B4">
        <w:rPr>
          <w:lang w:val="en-US"/>
        </w:rPr>
        <w:t xml:space="preserve"> for telephone survey administration</w:t>
      </w:r>
      <w:r w:rsidRPr="002513B4">
        <w:rPr>
          <w:lang w:val="en-US"/>
        </w:rPr>
        <w:t xml:space="preserve"> is as follows:</w:t>
      </w:r>
    </w:p>
    <w:p w14:paraId="1C2B933E" w14:textId="2F953091" w:rsidR="00EE74F9" w:rsidRPr="002513B4" w:rsidRDefault="00EE74F9" w:rsidP="00EE74F9">
      <w:pPr>
        <w:pStyle w:val="ListBullet"/>
      </w:pPr>
      <w:r w:rsidRPr="002513B4">
        <w:t xml:space="preserve">All supplemental questions must be placed </w:t>
      </w:r>
      <w:r w:rsidRPr="002513B4">
        <w:rPr>
          <w:b/>
        </w:rPr>
        <w:t>after</w:t>
      </w:r>
      <w:r w:rsidRPr="002513B4">
        <w:t xml:space="preserve"> the </w:t>
      </w:r>
      <w:r w:rsidR="007C5D38" w:rsidRPr="002513B4">
        <w:t>core</w:t>
      </w:r>
      <w:r w:rsidRPr="002513B4">
        <w:t xml:space="preserve"> questions. Supplemental questions may be placed either before or after the “About You” questions.</w:t>
      </w:r>
    </w:p>
    <w:p w14:paraId="4EBC6B5E" w14:textId="5F9ABCEA" w:rsidR="00EE74F9" w:rsidRPr="002513B4" w:rsidRDefault="00EE74F9" w:rsidP="00EE74F9">
      <w:pPr>
        <w:pStyle w:val="ListBullet"/>
      </w:pPr>
      <w:r w:rsidRPr="002513B4">
        <w:t>We strongly recommend that agencies</w:t>
      </w:r>
      <w:r w:rsidR="00B72953" w:rsidRPr="002513B4">
        <w:t xml:space="preserve"> and </w:t>
      </w:r>
      <w:r w:rsidRPr="002513B4">
        <w:t>vendors avoid sensitive questions or lengthy additions, because these will likely reduce expected response.</w:t>
      </w:r>
    </w:p>
    <w:p w14:paraId="2D6FD7AE" w14:textId="24C025CD" w:rsidR="00EE74F9" w:rsidRPr="002513B4" w:rsidRDefault="00EE74F9" w:rsidP="00EE74F9">
      <w:pPr>
        <w:pStyle w:val="ListBullet"/>
      </w:pPr>
      <w:r w:rsidRPr="002513B4">
        <w:t xml:space="preserve">Supplemental questions do not need to be approved by or reported to CMS. However, survey vendors should review the appropriateness of supplemental questions added to the HHCAHPS Survey and share any concerns they have directly with the HHA or the </w:t>
      </w:r>
      <w:r w:rsidR="00F2734F" w:rsidRPr="002513B4">
        <w:t>HHCAHPS Survey Coordination Team</w:t>
      </w:r>
      <w:r w:rsidRPr="002513B4">
        <w:t xml:space="preserve">. </w:t>
      </w:r>
      <w:r w:rsidR="00B72953" w:rsidRPr="002513B4">
        <w:t>Survey vendors must not include responses to the supplemental questions on the XML files that will be submitted to the HHCAHPS Data Center.</w:t>
      </w:r>
    </w:p>
    <w:p w14:paraId="36B20295" w14:textId="77777777" w:rsidR="00EE74F9" w:rsidRPr="002513B4" w:rsidRDefault="00EE74F9" w:rsidP="00EE74F9">
      <w:pPr>
        <w:pStyle w:val="ListBullet"/>
      </w:pPr>
      <w:r w:rsidRPr="002513B4">
        <w:t xml:space="preserve">HHAs cannot add questions that repeat any of the survey items in the HHCAHPS Survey </w:t>
      </w:r>
      <w:r w:rsidR="0066006D" w:rsidRPr="002513B4">
        <w:t>instrument</w:t>
      </w:r>
      <w:r w:rsidRPr="002513B4">
        <w:t>, even if the response scale is different.</w:t>
      </w:r>
    </w:p>
    <w:p w14:paraId="6619D5D5" w14:textId="77777777" w:rsidR="00EE74F9" w:rsidRPr="002513B4" w:rsidRDefault="00EE74F9" w:rsidP="00EE74F9">
      <w:pPr>
        <w:pStyle w:val="ListBullet"/>
      </w:pPr>
      <w:r w:rsidRPr="002513B4">
        <w:t>Supplemental questions cannot be used with the intention of marketing or promoting services provided by the HHA or any other organization.</w:t>
      </w:r>
    </w:p>
    <w:p w14:paraId="082D4611" w14:textId="41B425F9" w:rsidR="00EE74F9" w:rsidRPr="002513B4" w:rsidRDefault="00EE74F9" w:rsidP="00EE74F9">
      <w:pPr>
        <w:pStyle w:val="ListBullet"/>
      </w:pPr>
      <w:r w:rsidRPr="002513B4">
        <w:t>Supplemental questions cannot ask sample patients to identify other individuals who may need home health care services because of privacy and confidentiality issues they raise if PII were shared with the HHA without that person’s knowledge and permission.</w:t>
      </w:r>
    </w:p>
    <w:p w14:paraId="4BE5AD0D" w14:textId="3420AEE8" w:rsidR="00EE74F9" w:rsidRPr="002513B4" w:rsidRDefault="00EE74F9" w:rsidP="00EE74F9">
      <w:pPr>
        <w:pStyle w:val="ListBullet"/>
      </w:pPr>
      <w:r w:rsidRPr="002513B4">
        <w:t>Vendors are responsible for translating any non-</w:t>
      </w:r>
      <w:r w:rsidR="00B72953" w:rsidRPr="002513B4">
        <w:t>HH</w:t>
      </w:r>
      <w:r w:rsidRPr="002513B4">
        <w:t xml:space="preserve">CAHPS supplemental questions; </w:t>
      </w:r>
      <w:r w:rsidR="00B72953" w:rsidRPr="002513B4">
        <w:t xml:space="preserve">however, </w:t>
      </w:r>
      <w:r w:rsidRPr="002513B4">
        <w:t>only CMS-approved translations may be used for HHCAHPS Survey questions.</w:t>
      </w:r>
    </w:p>
    <w:p w14:paraId="452CB260" w14:textId="4145B710" w:rsidR="00EE74F9" w:rsidRPr="002513B4" w:rsidRDefault="00EE74F9" w:rsidP="00EE74F9">
      <w:pPr>
        <w:pStyle w:val="ListBullet"/>
      </w:pPr>
      <w:r w:rsidRPr="002513B4">
        <w:t xml:space="preserve">The Consent to Share </w:t>
      </w:r>
      <w:r w:rsidR="0066006D" w:rsidRPr="002513B4">
        <w:t xml:space="preserve">Responses </w:t>
      </w:r>
      <w:r w:rsidRPr="002513B4">
        <w:t xml:space="preserve">question must be added to all </w:t>
      </w:r>
      <w:r w:rsidR="00B72953" w:rsidRPr="002513B4">
        <w:t xml:space="preserve">HHCAHPS telephone scripts </w:t>
      </w:r>
      <w:r w:rsidRPr="002513B4">
        <w:t>if the HHA requests that the survey vendor provide survey responses linked to the respondent’s name and other identifying information. This question is typically placed at the end of the interview.</w:t>
      </w:r>
    </w:p>
    <w:p w14:paraId="5EC3E0DE" w14:textId="23AE4BDC" w:rsidR="00EE74F9" w:rsidRPr="002513B4" w:rsidRDefault="00E0198E" w:rsidP="00EE74F9">
      <w:pPr>
        <w:pStyle w:val="Heading3"/>
        <w:rPr>
          <w:lang w:val="en-US"/>
        </w:rPr>
      </w:pPr>
      <w:bookmarkStart w:id="217" w:name="_Toc224984423"/>
      <w:bookmarkStart w:id="218" w:name="_Toc251318152"/>
      <w:bookmarkStart w:id="219" w:name="_Toc407633075"/>
      <w:bookmarkStart w:id="220" w:name="_Toc24713352"/>
      <w:bookmarkStart w:id="221" w:name="_Toc217305589"/>
      <w:r w:rsidRPr="002513B4">
        <w:rPr>
          <w:lang w:val="en-US"/>
        </w:rPr>
        <w:lastRenderedPageBreak/>
        <w:t>6.4</w:t>
      </w:r>
      <w:r w:rsidRPr="002513B4">
        <w:rPr>
          <w:lang w:val="en-US"/>
        </w:rPr>
        <w:tab/>
      </w:r>
      <w:r w:rsidR="00EE74F9" w:rsidRPr="002513B4">
        <w:rPr>
          <w:lang w:val="en-US"/>
        </w:rPr>
        <w:t>Telephone Interviewing Requirements</w:t>
      </w:r>
      <w:bookmarkEnd w:id="217"/>
      <w:bookmarkEnd w:id="218"/>
      <w:bookmarkEnd w:id="219"/>
      <w:bookmarkEnd w:id="220"/>
      <w:bookmarkEnd w:id="221"/>
    </w:p>
    <w:p w14:paraId="1B96963E" w14:textId="6E8FBA46" w:rsidR="00EE74F9" w:rsidRPr="002513B4" w:rsidRDefault="00166056" w:rsidP="00EE74F9">
      <w:pPr>
        <w:pStyle w:val="BodyText"/>
        <w:rPr>
          <w:lang w:val="en-US"/>
        </w:rPr>
      </w:pPr>
      <w:r w:rsidRPr="002513B4">
        <w:rPr>
          <w:lang w:val="en-US"/>
        </w:rPr>
        <w:t>We describe the t</w:t>
      </w:r>
      <w:r w:rsidR="00EE74F9" w:rsidRPr="002513B4">
        <w:rPr>
          <w:lang w:val="en-US"/>
        </w:rPr>
        <w:t>elephone interviewing requirements and recommendations for the HHCAHPS Survey interview below. Vendors are expected to follow these requirements to maximize response rates and to ensure consistency in how the telephone-only mode of administration is implemented.</w:t>
      </w:r>
    </w:p>
    <w:p w14:paraId="7B0E8A15" w14:textId="4BF3171A" w:rsidR="00EE74F9" w:rsidRPr="002513B4" w:rsidRDefault="00E0198E" w:rsidP="00EE74F9">
      <w:pPr>
        <w:pStyle w:val="Heading4"/>
        <w:rPr>
          <w:lang w:val="en-US"/>
        </w:rPr>
      </w:pPr>
      <w:r w:rsidRPr="002513B4">
        <w:rPr>
          <w:lang w:val="en-US"/>
        </w:rPr>
        <w:t>6.4.1</w:t>
      </w:r>
      <w:r w:rsidR="00FB0576" w:rsidRPr="002513B4">
        <w:rPr>
          <w:lang w:val="en-US"/>
        </w:rPr>
        <w:tab/>
      </w:r>
      <w:r w:rsidR="00EE74F9" w:rsidRPr="002513B4">
        <w:rPr>
          <w:lang w:val="en-US"/>
        </w:rPr>
        <w:t>Telephone Contact</w:t>
      </w:r>
    </w:p>
    <w:p w14:paraId="77D4455B" w14:textId="77777777" w:rsidR="00EE74F9" w:rsidRPr="002513B4" w:rsidRDefault="00EE74F9" w:rsidP="00FB0576">
      <w:pPr>
        <w:pStyle w:val="ListBullet"/>
      </w:pPr>
      <w:r w:rsidRPr="002513B4">
        <w:t xml:space="preserve">Vendors must attempt to contact every patient in the sample. Vendors are required to make five telephone contact attempts for each sampled case, unless the sample member </w:t>
      </w:r>
      <w:proofErr w:type="gramStart"/>
      <w:r w:rsidRPr="002513B4">
        <w:t>refuses</w:t>
      </w:r>
      <w:proofErr w:type="gramEnd"/>
      <w:r w:rsidRPr="002513B4">
        <w:t xml:space="preserve"> or the vendor learns that the sample member is ineligible to participate in the survey.</w:t>
      </w:r>
    </w:p>
    <w:p w14:paraId="2575AC78" w14:textId="77777777" w:rsidR="00EE74F9" w:rsidRPr="002513B4" w:rsidRDefault="00EE74F9" w:rsidP="00FB0576">
      <w:pPr>
        <w:pStyle w:val="ListBullet"/>
        <w:spacing w:after="120"/>
      </w:pPr>
      <w:r w:rsidRPr="002513B4">
        <w:t>A telephone contact attempt is defined as one of the following:</w:t>
      </w:r>
    </w:p>
    <w:p w14:paraId="2E664D8A" w14:textId="77777777" w:rsidR="00EE74F9" w:rsidRPr="002513B4" w:rsidRDefault="00EE74F9" w:rsidP="00A62DD9">
      <w:pPr>
        <w:pStyle w:val="ListBullet2"/>
      </w:pPr>
      <w:r w:rsidRPr="002513B4">
        <w:t>the telephone rings six times with no answer</w:t>
      </w:r>
      <w:r w:rsidR="003D0329" w:rsidRPr="002513B4">
        <w:t xml:space="preserve"> or an answering machine is reached</w:t>
      </w:r>
      <w:r w:rsidRPr="002513B4">
        <w:t>;</w:t>
      </w:r>
    </w:p>
    <w:p w14:paraId="25B967B9" w14:textId="77777777" w:rsidR="00EE74F9" w:rsidRPr="002513B4" w:rsidRDefault="00EE74F9" w:rsidP="00A62DD9">
      <w:pPr>
        <w:pStyle w:val="ListBullet2"/>
      </w:pPr>
      <w:r w:rsidRPr="002513B4">
        <w:t>the interviewer reaches a household member and is told that the sample member is not available to take the call;</w:t>
      </w:r>
    </w:p>
    <w:p w14:paraId="54CCEDB6" w14:textId="77777777" w:rsidR="00EE74F9" w:rsidRPr="002513B4" w:rsidRDefault="00EE74F9" w:rsidP="00A62DD9">
      <w:pPr>
        <w:pStyle w:val="ListBullet2"/>
      </w:pPr>
      <w:r w:rsidRPr="002513B4">
        <w:t xml:space="preserve">the interviewer reaches the sample member and is asked to schedule a call-back </w:t>
      </w:r>
      <w:proofErr w:type="gramStart"/>
      <w:r w:rsidRPr="002513B4">
        <w:t>at a later date</w:t>
      </w:r>
      <w:proofErr w:type="gramEnd"/>
      <w:r w:rsidRPr="002513B4">
        <w:t>; or</w:t>
      </w:r>
    </w:p>
    <w:p w14:paraId="54C84039" w14:textId="77777777" w:rsidR="00EE74F9" w:rsidRPr="002513B4" w:rsidRDefault="00EE74F9" w:rsidP="0016037C">
      <w:pPr>
        <w:pStyle w:val="ListBullet2"/>
        <w:spacing w:after="120"/>
      </w:pPr>
      <w:r w:rsidRPr="002513B4">
        <w:t>the interviewer gets a busy signal on each of three consecutive phone call attempts, spaced at least 20 minutes apart.</w:t>
      </w:r>
    </w:p>
    <w:p w14:paraId="2154B422" w14:textId="77777777" w:rsidR="00EE74F9" w:rsidRPr="002513B4" w:rsidRDefault="00EE74F9" w:rsidP="00FB0576">
      <w:pPr>
        <w:pStyle w:val="ListBullet"/>
      </w:pPr>
      <w:r w:rsidRPr="002513B4">
        <w:t xml:space="preserve">Vendors may make more than one phone call in one 7-day period but cannot make all five attempts in one 7-day period. Vendors should keep in mind that some home health patients may be sicker than some other patient populations and may be hospitalized when some of the initial calls are made. Scheduling calls to take place over a longer </w:t>
      </w:r>
      <w:proofErr w:type="gramStart"/>
      <w:r w:rsidRPr="002513B4">
        <w:t>period of time</w:t>
      </w:r>
      <w:proofErr w:type="gramEnd"/>
      <w:r w:rsidRPr="002513B4">
        <w:t xml:space="preserve"> could reach patients who may be unavailable the first week of the data collection period.</w:t>
      </w:r>
    </w:p>
    <w:p w14:paraId="498F45A2" w14:textId="77777777" w:rsidR="00EE74F9" w:rsidRPr="002513B4" w:rsidRDefault="00EE74F9" w:rsidP="00FB0576">
      <w:pPr>
        <w:pStyle w:val="ListBullet"/>
      </w:pPr>
      <w:r w:rsidRPr="002513B4">
        <w:t>Phone calls must be made at different times of the day (i.e., morning, afternoon, and evening) and different days of the week throughout the data collection period.</w:t>
      </w:r>
    </w:p>
    <w:p w14:paraId="186F240E" w14:textId="77777777" w:rsidR="00EE74F9" w:rsidRPr="002513B4" w:rsidRDefault="00EE74F9" w:rsidP="00EE74F9">
      <w:pPr>
        <w:pStyle w:val="ListBullet"/>
        <w:spacing w:after="200"/>
      </w:pPr>
      <w:r w:rsidRPr="002513B4">
        <w:t xml:space="preserve">Contact with a sample member may be continued after five attempts if the fifth attempt results in a scheduled appointment with the sample member, </w:t>
      </w:r>
      <w:proofErr w:type="gramStart"/>
      <w:r w:rsidRPr="002513B4">
        <w:t>as long as</w:t>
      </w:r>
      <w:proofErr w:type="gramEnd"/>
      <w:r w:rsidRPr="002513B4">
        <w:t xml:space="preserve"> the appointment is within the data collection period.</w:t>
      </w:r>
    </w:p>
    <w:p w14:paraId="7AC6FC82" w14:textId="77777777" w:rsidR="00EE74F9" w:rsidRPr="002513B4" w:rsidRDefault="00EE74F9" w:rsidP="00EE74F9">
      <w:pPr>
        <w:pStyle w:val="ListBullet"/>
        <w:spacing w:after="200"/>
      </w:pPr>
      <w:r w:rsidRPr="002513B4">
        <w:t xml:space="preserve">Interviewers </w:t>
      </w:r>
      <w:r w:rsidRPr="002513B4">
        <w:rPr>
          <w:b/>
          <w:bCs/>
        </w:rPr>
        <w:t>may not</w:t>
      </w:r>
      <w:r w:rsidRPr="002513B4">
        <w:t xml:space="preserve"> leave voicemail messages on answering machines </w:t>
      </w:r>
      <w:r w:rsidRPr="002513B4">
        <w:rPr>
          <w:b/>
          <w:bCs/>
        </w:rPr>
        <w:t>or</w:t>
      </w:r>
      <w:r w:rsidRPr="002513B4">
        <w:t xml:space="preserve"> leave messages with household members.</w:t>
      </w:r>
    </w:p>
    <w:p w14:paraId="3ED1F5BF" w14:textId="77777777" w:rsidR="003D0329" w:rsidRPr="002513B4" w:rsidRDefault="003D0329" w:rsidP="00983A44">
      <w:pPr>
        <w:pStyle w:val="ListBullet"/>
        <w:spacing w:after="200"/>
      </w:pPr>
      <w:r w:rsidRPr="002513B4">
        <w:t xml:space="preserve">Interviewers may tell </w:t>
      </w:r>
      <w:r w:rsidR="003736A6" w:rsidRPr="002513B4">
        <w:t>the person who answers the phone</w:t>
      </w:r>
      <w:r w:rsidRPr="002513B4">
        <w:t xml:space="preserve"> that they </w:t>
      </w:r>
      <w:r w:rsidR="003736A6" w:rsidRPr="002513B4">
        <w:t xml:space="preserve">would like to speak to the sample member about their experiences with home health care at the named agency </w:t>
      </w:r>
      <w:r w:rsidR="000F418B" w:rsidRPr="002513B4">
        <w:t>ONLY IF</w:t>
      </w:r>
      <w:r w:rsidRPr="002513B4">
        <w:t xml:space="preserve"> the person on the phone </w:t>
      </w:r>
      <w:r w:rsidRPr="002513B4">
        <w:rPr>
          <w:b/>
          <w:bCs/>
          <w:i/>
          <w:iCs/>
        </w:rPr>
        <w:t>volunteers</w:t>
      </w:r>
      <w:r w:rsidRPr="002513B4">
        <w:t xml:space="preserve"> they are the sample member’s next of kin (which CMS defines as the sample member’s partner, child, parent, sibling, grandchild</w:t>
      </w:r>
      <w:r w:rsidR="005F4247" w:rsidRPr="002513B4">
        <w:t>,</w:t>
      </w:r>
      <w:r w:rsidRPr="002513B4">
        <w:t xml:space="preserve"> or power of attorney</w:t>
      </w:r>
      <w:r w:rsidR="00DF5C26" w:rsidRPr="002513B4">
        <w:t>)</w:t>
      </w:r>
      <w:r w:rsidR="00983A44" w:rsidRPr="002513B4">
        <w:t xml:space="preserve">. </w:t>
      </w:r>
      <w:r w:rsidR="003736A6" w:rsidRPr="002513B4">
        <w:t xml:space="preserve">Otherwise, interviewers can only say they would like to speak to the sample member “about a health care study.” </w:t>
      </w:r>
      <w:r w:rsidR="00983A44" w:rsidRPr="002513B4">
        <w:lastRenderedPageBreak/>
        <w:t>T</w:t>
      </w:r>
      <w:r w:rsidRPr="002513B4">
        <w:t xml:space="preserve">he interviewer may say they would like to talk to </w:t>
      </w:r>
      <w:r w:rsidR="006D263F" w:rsidRPr="002513B4">
        <w:t>the proxy</w:t>
      </w:r>
      <w:r w:rsidRPr="002513B4">
        <w:t xml:space="preserve"> about </w:t>
      </w:r>
      <w:r w:rsidR="006D263F" w:rsidRPr="002513B4">
        <w:t>the sample member’s</w:t>
      </w:r>
      <w:r w:rsidRPr="002513B4">
        <w:t xml:space="preserve"> experiences with home health care they received from the named agency. IMPORTANT: These are the only circumstances in which a vendor can share this additional information. </w:t>
      </w:r>
    </w:p>
    <w:p w14:paraId="17CD773B" w14:textId="77777777" w:rsidR="00EE74F9" w:rsidRPr="002513B4" w:rsidRDefault="00EE74F9" w:rsidP="00EE74F9">
      <w:pPr>
        <w:pStyle w:val="ListBullet"/>
        <w:spacing w:after="200"/>
      </w:pPr>
      <w:r w:rsidRPr="002513B4">
        <w:t xml:space="preserve">Vendors must </w:t>
      </w:r>
      <w:r w:rsidR="00A61D5A" w:rsidRPr="002513B4">
        <w:t>maintain</w:t>
      </w:r>
      <w:r w:rsidRPr="002513B4">
        <w:t xml:space="preserve"> a phone call log that keeps track of the date and time phone calls were made for each sample member.</w:t>
      </w:r>
    </w:p>
    <w:p w14:paraId="4063D9EA" w14:textId="77777777" w:rsidR="00EE74F9" w:rsidRPr="002513B4" w:rsidRDefault="00EE74F9" w:rsidP="00EE74F9">
      <w:pPr>
        <w:pStyle w:val="ListBullet"/>
        <w:spacing w:after="200"/>
      </w:pPr>
      <w:r w:rsidRPr="002513B4">
        <w:t>If the vendor finds out that a sample member</w:t>
      </w:r>
      <w:r w:rsidRPr="002513B4" w:rsidDel="00AE2954">
        <w:t xml:space="preserve"> </w:t>
      </w:r>
      <w:r w:rsidRPr="002513B4">
        <w:t>is ineligible for the HHCAHPS Survey, the vendor must immediately stop further contact attempts with that sample member.</w:t>
      </w:r>
    </w:p>
    <w:p w14:paraId="51ABCAC9" w14:textId="2AABCD1B" w:rsidR="00EE74F9" w:rsidRPr="002513B4" w:rsidRDefault="00EE74F9" w:rsidP="00EE74F9">
      <w:pPr>
        <w:pStyle w:val="ListBullet"/>
        <w:spacing w:after="200"/>
      </w:pPr>
      <w:r w:rsidRPr="002513B4">
        <w:t>Telephone survey data collection for each monthly sample must begin no later than 3 weeks from the close of the sample month and must be completed within 6 weeks from the initial telephone attempt</w:t>
      </w:r>
      <w:r w:rsidR="0055365B" w:rsidRPr="002513B4">
        <w:t xml:space="preserve"> (see </w:t>
      </w:r>
      <w:r w:rsidR="0055365B" w:rsidRPr="002513B4">
        <w:rPr>
          <w:b/>
          <w:bCs/>
          <w:i/>
          <w:iCs/>
        </w:rPr>
        <w:t>Table 6.1</w:t>
      </w:r>
      <w:r w:rsidR="0055365B" w:rsidRPr="002513B4">
        <w:t xml:space="preserve"> above)</w:t>
      </w:r>
      <w:r w:rsidRPr="002513B4">
        <w:t>.</w:t>
      </w:r>
    </w:p>
    <w:p w14:paraId="468F669F" w14:textId="77777777" w:rsidR="00EE74F9" w:rsidRPr="002513B4" w:rsidRDefault="00EE74F9" w:rsidP="00EE74F9">
      <w:pPr>
        <w:pStyle w:val="ListBullet"/>
        <w:spacing w:after="200"/>
      </w:pPr>
      <w:r w:rsidRPr="002513B4">
        <w:t>The use of incentives</w:t>
      </w:r>
      <w:r w:rsidR="00A61D5A" w:rsidRPr="002513B4">
        <w:t>—monetary or nonmonetary—</w:t>
      </w:r>
      <w:r w:rsidRPr="002513B4">
        <w:t>is not permitted.</w:t>
      </w:r>
    </w:p>
    <w:p w14:paraId="0660C74B" w14:textId="77777777" w:rsidR="00A61D5A" w:rsidRPr="002513B4" w:rsidRDefault="00EE74F9" w:rsidP="00AA0751">
      <w:pPr>
        <w:pStyle w:val="ListBullet"/>
        <w:spacing w:after="120"/>
      </w:pPr>
      <w:r w:rsidRPr="002513B4">
        <w:t xml:space="preserve">The use of proxy respondents is permitted. </w:t>
      </w:r>
      <w:r w:rsidR="00A61D5A" w:rsidRPr="002513B4">
        <w:t xml:space="preserve">Vendors must adhere to the requirements listed below regarding proxies: </w:t>
      </w:r>
    </w:p>
    <w:p w14:paraId="49CA4071" w14:textId="77777777" w:rsidR="00A61D5A" w:rsidRPr="002513B4" w:rsidRDefault="00EE74F9" w:rsidP="00A62DD9">
      <w:pPr>
        <w:pStyle w:val="ListBullet2"/>
      </w:pPr>
      <w:r w:rsidRPr="002513B4">
        <w:t xml:space="preserve">Other individuals may assist the sample member in answering questions or answer questions on the sample member’s behalf, </w:t>
      </w:r>
      <w:proofErr w:type="gramStart"/>
      <w:r w:rsidRPr="002513B4">
        <w:rPr>
          <w:b/>
          <w:bCs/>
          <w:i/>
          <w:iCs/>
        </w:rPr>
        <w:t>as long as</w:t>
      </w:r>
      <w:proofErr w:type="gramEnd"/>
      <w:r w:rsidRPr="002513B4">
        <w:rPr>
          <w:b/>
          <w:bCs/>
          <w:i/>
          <w:iCs/>
        </w:rPr>
        <w:t xml:space="preserve"> the sample member is physically or mentally incapable of completing an interview</w:t>
      </w:r>
      <w:r w:rsidRPr="002513B4">
        <w:t xml:space="preserve">. </w:t>
      </w:r>
    </w:p>
    <w:p w14:paraId="6F1711BB" w14:textId="77777777" w:rsidR="00A61D5A" w:rsidRPr="002513B4" w:rsidRDefault="00EE74F9" w:rsidP="00A62DD9">
      <w:pPr>
        <w:pStyle w:val="ListBullet2"/>
      </w:pPr>
      <w:r w:rsidRPr="002513B4">
        <w:t xml:space="preserve">Proxy respondents may not be used for sample members who simply “do not want” to participate. </w:t>
      </w:r>
    </w:p>
    <w:p w14:paraId="6310153D" w14:textId="77777777" w:rsidR="00A61D5A" w:rsidRPr="002513B4" w:rsidRDefault="00A61D5A" w:rsidP="00A62DD9">
      <w:pPr>
        <w:pStyle w:val="ListBullet2"/>
      </w:pPr>
      <w:r w:rsidRPr="002513B4">
        <w:t>T</w:t>
      </w:r>
      <w:r w:rsidR="00EE74F9" w:rsidRPr="002513B4">
        <w:t xml:space="preserve">he sample member should be advised not to ask for help from HHA personnel, nor should interviewers conduct proxy interviews with HHA personnel. </w:t>
      </w:r>
    </w:p>
    <w:p w14:paraId="7B0BAAFC" w14:textId="77777777" w:rsidR="00EE74F9" w:rsidRPr="002513B4" w:rsidRDefault="00EE74F9" w:rsidP="00A62DD9">
      <w:pPr>
        <w:pStyle w:val="ListBullet2"/>
      </w:pPr>
      <w:r w:rsidRPr="002513B4">
        <w:t>Proxy responses are NOT permitted for deceased sample members.</w:t>
      </w:r>
    </w:p>
    <w:p w14:paraId="09AB7FFC" w14:textId="2A8CC957" w:rsidR="00EE74F9" w:rsidRPr="002513B4" w:rsidRDefault="00EE74F9" w:rsidP="0016037C">
      <w:pPr>
        <w:pStyle w:val="ListBullet2"/>
        <w:spacing w:after="120"/>
      </w:pPr>
      <w:r w:rsidRPr="002513B4">
        <w:t xml:space="preserve">An employee of a group home may serve as a proxy respondent for a sample patient who lives in the group home. However, the vendor should ensure that the proxy respondent is an employee of the group home and not the HHA, and the proxy respondent is knowledgeable about the sample patient’s home health care. </w:t>
      </w:r>
    </w:p>
    <w:p w14:paraId="13599288" w14:textId="50E2D115" w:rsidR="00EE74F9" w:rsidRPr="002513B4" w:rsidRDefault="00EE74F9" w:rsidP="00EE74F9">
      <w:pPr>
        <w:pStyle w:val="ListBullet"/>
        <w:spacing w:after="200"/>
      </w:pPr>
      <w:r w:rsidRPr="002513B4">
        <w:t>If a respondent begins the interview but cannot complete it during the call for a reason other than a refusal, the vendor should follow up with the respondent to complete the entire interview. The interviewer should follow up even if the respondent answered enough questions in the interview for the case to pass the completeness criteria</w:t>
      </w:r>
      <w:r w:rsidR="00560A41" w:rsidRPr="002513B4">
        <w:t xml:space="preserve"> (as discussed in </w:t>
      </w:r>
      <w:r w:rsidR="00560A41" w:rsidRPr="002513B4">
        <w:rPr>
          <w:b/>
          <w:bCs/>
          <w:i/>
          <w:iCs/>
        </w:rPr>
        <w:t xml:space="preserve">Chapter </w:t>
      </w:r>
      <w:r w:rsidR="00052BBA" w:rsidRPr="002513B4">
        <w:rPr>
          <w:b/>
          <w:bCs/>
          <w:i/>
          <w:iCs/>
        </w:rPr>
        <w:t>9</w:t>
      </w:r>
      <w:r w:rsidR="00560A41" w:rsidRPr="002513B4">
        <w:t>)</w:t>
      </w:r>
      <w:r w:rsidRPr="002513B4">
        <w:t>. It is especially important to complete the questions in the “About You” section of the questionnaire because data from some of those questions will be used in patient-mix adjustment.</w:t>
      </w:r>
    </w:p>
    <w:p w14:paraId="6E5736C8" w14:textId="77777777" w:rsidR="00EE74F9" w:rsidRPr="002513B4" w:rsidRDefault="00EE74F9" w:rsidP="00EE74F9">
      <w:pPr>
        <w:pStyle w:val="ListBullet"/>
        <w:spacing w:after="200"/>
      </w:pPr>
      <w:r w:rsidRPr="002513B4">
        <w:t>The vendor must be able to offer the interview in any of the</w:t>
      </w:r>
      <w:r w:rsidR="00D709B0" w:rsidRPr="002513B4">
        <w:t xml:space="preserve"> approved</w:t>
      </w:r>
      <w:r w:rsidRPr="002513B4">
        <w:t xml:space="preserve"> languages</w:t>
      </w:r>
      <w:r w:rsidR="00D709B0" w:rsidRPr="002513B4">
        <w:t xml:space="preserve"> (English, Spanish, Russian</w:t>
      </w:r>
      <w:r w:rsidR="005F4247" w:rsidRPr="002513B4">
        <w:t>,</w:t>
      </w:r>
      <w:r w:rsidR="00D709B0" w:rsidRPr="002513B4">
        <w:t xml:space="preserve"> or Vietnamese)</w:t>
      </w:r>
      <w:r w:rsidRPr="002513B4">
        <w:t xml:space="preserve"> for which an HHA has contracted, even if the language is different from the language that the HHA believes the sample member will require. That is, the vendor must be able to </w:t>
      </w:r>
      <w:r w:rsidR="00D709B0" w:rsidRPr="002513B4">
        <w:t xml:space="preserve">easily switch to accommodate a respondent’s language preference. For example, if the initial contact </w:t>
      </w:r>
      <w:r w:rsidR="00D709B0" w:rsidRPr="002513B4">
        <w:lastRenderedPageBreak/>
        <w:t>is in English but the respondent prefers to conduct the interview in Spanish, the vendor must be able to switch to Spanish.</w:t>
      </w:r>
    </w:p>
    <w:p w14:paraId="22DD8C85" w14:textId="63861503" w:rsidR="00EE74F9" w:rsidRPr="002513B4" w:rsidRDefault="00EE74F9" w:rsidP="00EE74F9">
      <w:pPr>
        <w:pStyle w:val="ListBullet"/>
        <w:spacing w:after="200"/>
      </w:pPr>
      <w:r w:rsidRPr="002513B4">
        <w:t>Sample members are still eligible even if they have missing, incomplete, or foreign phone numbers. The vendor should contact the HHA to obtain the telephone number for the address where home care was delivered. If the HHA cannot provide this number, the vendor should attempt to obtain a telephone number for the sample patient from other sources (</w:t>
      </w:r>
      <w:r w:rsidR="007B4346" w:rsidRPr="002513B4">
        <w:t xml:space="preserve">e.g., </w:t>
      </w:r>
      <w:r w:rsidRPr="002513B4">
        <w:t xml:space="preserve">directory assistance, Internet directories, etc.). If the vendor still cannot obtain a telephone number, the vendor should code the case as </w:t>
      </w:r>
      <w:r w:rsidR="0055365B" w:rsidRPr="002513B4">
        <w:t>a</w:t>
      </w:r>
      <w:r w:rsidR="00AC0100" w:rsidRPr="002513B4">
        <w:t xml:space="preserve"> </w:t>
      </w:r>
      <w:r w:rsidRPr="002513B4">
        <w:t>340—wrong, disconnected, no telephone number.</w:t>
      </w:r>
    </w:p>
    <w:p w14:paraId="28649984" w14:textId="0CD155E7" w:rsidR="00EE74F9" w:rsidRPr="002513B4" w:rsidRDefault="00EE74F9" w:rsidP="00EE74F9">
      <w:pPr>
        <w:pStyle w:val="ListBullet"/>
      </w:pPr>
      <w:r w:rsidRPr="002513B4">
        <w:t xml:space="preserve">If a respondent decides after </w:t>
      </w:r>
      <w:r w:rsidR="00A521FE" w:rsidRPr="002513B4">
        <w:t>they have</w:t>
      </w:r>
      <w:r w:rsidRPr="002513B4">
        <w:t xml:space="preserve"> answered some of the questions in the telephone interview that </w:t>
      </w:r>
      <w:r w:rsidR="00A521FE" w:rsidRPr="002513B4">
        <w:t xml:space="preserve">they do </w:t>
      </w:r>
      <w:r w:rsidRPr="002513B4">
        <w:t xml:space="preserve">not wish to participate in the survey any longer, the vendor should code the case as a refusal. The vendor should not use the partial data that were obtained before the interview </w:t>
      </w:r>
      <w:r w:rsidR="00736A75" w:rsidRPr="002513B4">
        <w:t>ended</w:t>
      </w:r>
      <w:r w:rsidRPr="002513B4">
        <w:t xml:space="preserve">. This protocol applies even if the respondent answered enough questions in the interview for the case to pass the completeness criteria. Note that this situation is different from the respondent saying that </w:t>
      </w:r>
      <w:r w:rsidR="00A521FE" w:rsidRPr="002513B4">
        <w:t>they do</w:t>
      </w:r>
      <w:r w:rsidRPr="002513B4">
        <w:t xml:space="preserve"> not wish to continue an interview. If the respondent breaks off the interview but does not state that </w:t>
      </w:r>
      <w:r w:rsidR="00A521FE" w:rsidRPr="002513B4">
        <w:t>they do</w:t>
      </w:r>
      <w:r w:rsidRPr="002513B4">
        <w:t xml:space="preserve"> not wish to participate in the survey, the data may be used</w:t>
      </w:r>
      <w:r w:rsidR="007B4346" w:rsidRPr="002513B4">
        <w:t>.</w:t>
      </w:r>
      <w:r w:rsidR="00C8062D" w:rsidRPr="002513B4">
        <w:t xml:space="preserve"> </w:t>
      </w:r>
      <w:r w:rsidR="00736A75" w:rsidRPr="002513B4">
        <w:t xml:space="preserve">In this case, the vendor </w:t>
      </w:r>
      <w:r w:rsidR="00983A44" w:rsidRPr="002513B4">
        <w:t>should</w:t>
      </w:r>
      <w:r w:rsidR="00736A75" w:rsidRPr="002513B4">
        <w:t xml:space="preserve"> code the case as a 120 – Completed Telephone Interview if the case passes the completeness criteria; otherwise, it should be coded as a 310 – Breakoff.</w:t>
      </w:r>
    </w:p>
    <w:p w14:paraId="36623691" w14:textId="36CC5684" w:rsidR="00EE74F9" w:rsidRPr="002513B4" w:rsidRDefault="00E0198E" w:rsidP="00EE74F9">
      <w:pPr>
        <w:pStyle w:val="Heading4"/>
        <w:rPr>
          <w:lang w:val="en-US"/>
        </w:rPr>
      </w:pPr>
      <w:r w:rsidRPr="002513B4">
        <w:rPr>
          <w:lang w:val="en-US"/>
        </w:rPr>
        <w:t>6.4.2</w:t>
      </w:r>
      <w:r w:rsidR="00AA0751" w:rsidRPr="002513B4">
        <w:rPr>
          <w:lang w:val="en-US"/>
        </w:rPr>
        <w:tab/>
      </w:r>
      <w:r w:rsidR="00EE74F9" w:rsidRPr="002513B4">
        <w:rPr>
          <w:lang w:val="en-US"/>
        </w:rPr>
        <w:t>Contacting Difficult-to-Reach Sample Members</w:t>
      </w:r>
    </w:p>
    <w:p w14:paraId="70D43BCE" w14:textId="77777777" w:rsidR="00EE74F9" w:rsidRPr="002513B4" w:rsidRDefault="00EE74F9" w:rsidP="00AA0751">
      <w:pPr>
        <w:pStyle w:val="ListBullet"/>
      </w:pPr>
      <w:r w:rsidRPr="002513B4">
        <w:t>Although not required, we strongly recommend that survey vendors verify telephone numbers obtained from the HHA, using a commercial address/telephone database service or directory assistance.</w:t>
      </w:r>
    </w:p>
    <w:p w14:paraId="19073397" w14:textId="77777777" w:rsidR="00EE74F9" w:rsidRPr="002513B4" w:rsidRDefault="00EE74F9" w:rsidP="00AA0751">
      <w:pPr>
        <w:pStyle w:val="ListBullet"/>
      </w:pPr>
      <w:r w:rsidRPr="002513B4">
        <w:t>We recommend that vendors attempt to identify a new or updated telephone number for any sample member whose telephone number is no longer in service when called and for any sample members who have moved so that the sample members can be contacted prior to the end of the data collection period.</w:t>
      </w:r>
    </w:p>
    <w:p w14:paraId="4452F51B" w14:textId="77777777" w:rsidR="00EE74F9" w:rsidRPr="002513B4" w:rsidRDefault="00EE74F9" w:rsidP="00AA0751">
      <w:pPr>
        <w:pStyle w:val="ListBullet"/>
      </w:pPr>
      <w:r w:rsidRPr="002513B4">
        <w:t>If the sample member’s telephone number is incorrect, the interviewer may ask the person who answers the phone for the sample member’s phone number.</w:t>
      </w:r>
    </w:p>
    <w:p w14:paraId="3D91F110" w14:textId="77777777" w:rsidR="00EE74F9" w:rsidRPr="002513B4" w:rsidRDefault="00EE74F9" w:rsidP="00AA0751">
      <w:pPr>
        <w:pStyle w:val="ListBullet"/>
      </w:pPr>
      <w:r w:rsidRPr="002513B4">
        <w:t>If the sample member is temporarily ill, on vacation, or unavailable during initial contact, the interviewer should attempt to recontact the sample member before the data collection period ends.</w:t>
      </w:r>
      <w:r w:rsidR="00DE3D36" w:rsidRPr="002513B4">
        <w:t xml:space="preserve"> If the sample member cannot be reached before the data collection period ends, code the case as 350 – No Response After Maximum Attempts.</w:t>
      </w:r>
    </w:p>
    <w:p w14:paraId="22D9CE01" w14:textId="77777777" w:rsidR="00EE74F9" w:rsidRPr="002513B4" w:rsidRDefault="00EE74F9" w:rsidP="00AA0751">
      <w:pPr>
        <w:pStyle w:val="ListBullet"/>
      </w:pPr>
      <w:r w:rsidRPr="002513B4">
        <w:t>If the sample member does not speak the language</w:t>
      </w:r>
      <w:r w:rsidR="00DE3D36" w:rsidRPr="002513B4">
        <w:t>(s)</w:t>
      </w:r>
      <w:r w:rsidRPr="002513B4">
        <w:t xml:space="preserve"> </w:t>
      </w:r>
      <w:r w:rsidR="00DE3D36" w:rsidRPr="002513B4">
        <w:t>that the vendor is administering for that agency</w:t>
      </w:r>
      <w:r w:rsidRPr="002513B4">
        <w:t xml:space="preserve">, the interviewer should thank the sample member for his or her time, </w:t>
      </w:r>
      <w:r w:rsidR="00DE3D36" w:rsidRPr="002513B4">
        <w:t xml:space="preserve">end </w:t>
      </w:r>
      <w:r w:rsidRPr="002513B4">
        <w:t>the interview, and code the case as 230</w:t>
      </w:r>
      <w:r w:rsidR="00E11301" w:rsidRPr="002513B4">
        <w:t xml:space="preserve"> – </w:t>
      </w:r>
      <w:r w:rsidRPr="002513B4">
        <w:t>Ineligible: Language Barrier.</w:t>
      </w:r>
    </w:p>
    <w:p w14:paraId="3379F907" w14:textId="3F797798" w:rsidR="00EE74F9" w:rsidRPr="002513B4" w:rsidRDefault="00EE74F9" w:rsidP="00AA0751">
      <w:pPr>
        <w:pStyle w:val="ListBullet"/>
      </w:pPr>
      <w:r w:rsidRPr="002513B4">
        <w:lastRenderedPageBreak/>
        <w:t>For sample members who are living in institutions (</w:t>
      </w:r>
      <w:r w:rsidR="00EC7039" w:rsidRPr="002513B4">
        <w:t xml:space="preserve">e.g., </w:t>
      </w:r>
      <w:r w:rsidRPr="002513B4">
        <w:t xml:space="preserve">nursing homes, assisted living, etc.), HHCAHPS Survey vendors should contact the HHA to obtain a direct-dial telephone number. Because health care is delivered in the patient’s home, the HHA should have a direct-dial number for the patient to reach him or her to arrange and schedule home care. If the HHA cannot provide a direct-dial telephone number for the sample patient, try to obtain the sample member’s telephone number using other sources, such as a telephone number lookup service, directory assistance, or Internet telephone survey directories. If </w:t>
      </w:r>
      <w:r w:rsidR="00EC7039" w:rsidRPr="002513B4">
        <w:t xml:space="preserve">the </w:t>
      </w:r>
      <w:r w:rsidRPr="002513B4">
        <w:t xml:space="preserve">vendor cannot obtain a </w:t>
      </w:r>
      <w:r w:rsidR="00EC7039" w:rsidRPr="002513B4">
        <w:t xml:space="preserve">direct </w:t>
      </w:r>
      <w:r w:rsidRPr="002513B4">
        <w:t>telephone number for the sample patient, they should assign a disposition code of 340—</w:t>
      </w:r>
      <w:r w:rsidR="00E11301" w:rsidRPr="002513B4">
        <w:t>W</w:t>
      </w:r>
      <w:r w:rsidRPr="002513B4">
        <w:t xml:space="preserve">rong, </w:t>
      </w:r>
      <w:r w:rsidR="00E11301" w:rsidRPr="002513B4">
        <w:t>D</w:t>
      </w:r>
      <w:r w:rsidRPr="002513B4">
        <w:t xml:space="preserve">isconnected, or </w:t>
      </w:r>
      <w:r w:rsidR="00E11301" w:rsidRPr="002513B4">
        <w:t>N</w:t>
      </w:r>
      <w:r w:rsidRPr="002513B4">
        <w:t xml:space="preserve">o </w:t>
      </w:r>
      <w:r w:rsidR="00E11301" w:rsidRPr="002513B4">
        <w:t>T</w:t>
      </w:r>
      <w:r w:rsidRPr="002513B4">
        <w:t xml:space="preserve">elephone </w:t>
      </w:r>
      <w:r w:rsidR="00E11301" w:rsidRPr="002513B4">
        <w:t>N</w:t>
      </w:r>
      <w:r w:rsidRPr="002513B4">
        <w:t>umber to the case.</w:t>
      </w:r>
    </w:p>
    <w:p w14:paraId="69535682" w14:textId="0AD63381" w:rsidR="00EE74F9" w:rsidRPr="002513B4" w:rsidRDefault="00E0198E" w:rsidP="00EE74F9">
      <w:pPr>
        <w:pStyle w:val="Heading3"/>
        <w:rPr>
          <w:lang w:val="en-US"/>
        </w:rPr>
      </w:pPr>
      <w:bookmarkStart w:id="222" w:name="_Toc224984424"/>
      <w:bookmarkStart w:id="223" w:name="_Toc251318153"/>
      <w:bookmarkStart w:id="224" w:name="_Toc407633076"/>
      <w:bookmarkStart w:id="225" w:name="_Toc24713353"/>
      <w:bookmarkStart w:id="226" w:name="_Toc217305590"/>
      <w:r w:rsidRPr="002513B4">
        <w:rPr>
          <w:lang w:val="en-US"/>
        </w:rPr>
        <w:t>6.5</w:t>
      </w:r>
      <w:r w:rsidRPr="002513B4">
        <w:rPr>
          <w:lang w:val="en-US"/>
        </w:rPr>
        <w:tab/>
      </w:r>
      <w:r w:rsidR="00EE74F9" w:rsidRPr="002513B4">
        <w:rPr>
          <w:lang w:val="en-US"/>
        </w:rPr>
        <w:t>Telephone Interviewer Training</w:t>
      </w:r>
      <w:bookmarkEnd w:id="222"/>
      <w:bookmarkEnd w:id="223"/>
      <w:bookmarkEnd w:id="224"/>
      <w:bookmarkEnd w:id="225"/>
      <w:bookmarkEnd w:id="226"/>
    </w:p>
    <w:p w14:paraId="3D2AB8AE" w14:textId="77777777" w:rsidR="00EE74F9" w:rsidRPr="002513B4" w:rsidRDefault="00EE74F9" w:rsidP="00EE74F9">
      <w:pPr>
        <w:pStyle w:val="BodyText"/>
        <w:rPr>
          <w:lang w:val="en-US"/>
        </w:rPr>
      </w:pPr>
      <w:r w:rsidRPr="002513B4">
        <w:rPr>
          <w:lang w:val="en-US"/>
        </w:rPr>
        <w:t>Vendors must provide training to all telephone interviewing and customer support staff prior to starting telephone survey data collection activities. Telephone interviewer and customer support staff training must include the following:</w:t>
      </w:r>
    </w:p>
    <w:p w14:paraId="2AFBC3ED" w14:textId="23A4E611" w:rsidR="00EE74F9" w:rsidRPr="002513B4" w:rsidRDefault="00705429" w:rsidP="00AA0751">
      <w:pPr>
        <w:pStyle w:val="ListBullet"/>
      </w:pPr>
      <w:r w:rsidRPr="002513B4">
        <w:t>E</w:t>
      </w:r>
      <w:r w:rsidR="00EE74F9" w:rsidRPr="002513B4">
        <w:t>stablish</w:t>
      </w:r>
      <w:r w:rsidRPr="002513B4">
        <w:t>ing</w:t>
      </w:r>
      <w:r w:rsidR="00EE74F9" w:rsidRPr="002513B4">
        <w:t xml:space="preserve"> rapport with the respondent;</w:t>
      </w:r>
    </w:p>
    <w:p w14:paraId="17983756" w14:textId="77777777" w:rsidR="00EE74F9" w:rsidRPr="002513B4" w:rsidRDefault="00EE74F9" w:rsidP="00AA0751">
      <w:pPr>
        <w:pStyle w:val="ListBullet"/>
      </w:pPr>
      <w:r w:rsidRPr="002513B4">
        <w:t>Teaching interviewers the content and purpose of the interview so that they can effectively communicate this information to the sampled patients;</w:t>
      </w:r>
    </w:p>
    <w:p w14:paraId="458FA8B9" w14:textId="32AFCF31" w:rsidR="00EE74F9" w:rsidRPr="002513B4" w:rsidRDefault="00705429" w:rsidP="00AA0751">
      <w:pPr>
        <w:pStyle w:val="ListBullet"/>
      </w:pPr>
      <w:r w:rsidRPr="002513B4">
        <w:t>A</w:t>
      </w:r>
      <w:r w:rsidR="00EE74F9" w:rsidRPr="002513B4">
        <w:t>dminister</w:t>
      </w:r>
      <w:r w:rsidRPr="002513B4">
        <w:t>ing</w:t>
      </w:r>
      <w:r w:rsidR="00EE74F9" w:rsidRPr="002513B4">
        <w:t xml:space="preserve"> the interview in a standardized format, which includes reading the questions as they are worded, not providing the respondent with additional information that is not scripted, maintaining a professional manner, and adhering to all quality control standards;</w:t>
      </w:r>
    </w:p>
    <w:p w14:paraId="334889D0" w14:textId="55DD6374" w:rsidR="00EE74F9" w:rsidRPr="002513B4" w:rsidRDefault="00705429" w:rsidP="00AA0751">
      <w:pPr>
        <w:pStyle w:val="ListBullet"/>
      </w:pPr>
      <w:r w:rsidRPr="002513B4">
        <w:t>Administering</w:t>
      </w:r>
      <w:r w:rsidR="00EE74F9" w:rsidRPr="002513B4">
        <w:t xml:space="preserve"> the proxy script;</w:t>
      </w:r>
    </w:p>
    <w:p w14:paraId="00DBCAC8" w14:textId="2D44FCC2" w:rsidR="00EE74F9" w:rsidRPr="002513B4" w:rsidRDefault="00705429" w:rsidP="00AA0751">
      <w:pPr>
        <w:pStyle w:val="ListBullet"/>
      </w:pPr>
      <w:r w:rsidRPr="002513B4">
        <w:t xml:space="preserve">Effectively using </w:t>
      </w:r>
      <w:r w:rsidR="00EE74F9" w:rsidRPr="002513B4">
        <w:t>neutral probing techniques;</w:t>
      </w:r>
    </w:p>
    <w:p w14:paraId="0AFF0272" w14:textId="5FD9A63B" w:rsidR="00EE74F9" w:rsidRPr="002513B4" w:rsidRDefault="00705429" w:rsidP="00AA0751">
      <w:pPr>
        <w:pStyle w:val="ListBullet"/>
      </w:pPr>
      <w:r w:rsidRPr="002513B4">
        <w:t xml:space="preserve">Using </w:t>
      </w:r>
      <w:r w:rsidR="00EE74F9" w:rsidRPr="002513B4">
        <w:t>the FAQs document (see Appendix </w:t>
      </w:r>
      <w:r w:rsidR="00EC7039" w:rsidRPr="002513B4">
        <w:t>A</w:t>
      </w:r>
      <w:r w:rsidR="00EE74F9" w:rsidRPr="002513B4">
        <w:t xml:space="preserve">) so that they can answer questions in a standardized format; </w:t>
      </w:r>
    </w:p>
    <w:p w14:paraId="414CF0F9" w14:textId="6DD10E86" w:rsidR="00EC7039" w:rsidRPr="002513B4" w:rsidRDefault="00D036C3" w:rsidP="00AA0751">
      <w:pPr>
        <w:pStyle w:val="ListBullet"/>
      </w:pPr>
      <w:r w:rsidRPr="002513B4">
        <w:t>A</w:t>
      </w:r>
      <w:r w:rsidR="00705429" w:rsidRPr="002513B4">
        <w:t>dministering both the patient and proxy scripts in a standardized format in the multiple languages offered for HHCAHPS; and</w:t>
      </w:r>
    </w:p>
    <w:p w14:paraId="740D9432" w14:textId="694D8923" w:rsidR="00EE74F9" w:rsidRPr="002513B4" w:rsidRDefault="00D036C3" w:rsidP="00AA0751">
      <w:pPr>
        <w:pStyle w:val="ListBullet"/>
      </w:pPr>
      <w:r w:rsidRPr="002513B4">
        <w:t xml:space="preserve">Training </w:t>
      </w:r>
      <w:r w:rsidR="00EC7039" w:rsidRPr="002513B4">
        <w:t xml:space="preserve">multilingual </w:t>
      </w:r>
      <w:r w:rsidR="00EE74F9" w:rsidRPr="002513B4">
        <w:t>customer support staff how to handle questions in English and the other language(s) in which the survey is being offered.</w:t>
      </w:r>
    </w:p>
    <w:p w14:paraId="47FB4421" w14:textId="77777777" w:rsidR="00EE74F9" w:rsidRPr="002513B4" w:rsidRDefault="00EE74F9" w:rsidP="00EE74F9">
      <w:pPr>
        <w:pStyle w:val="BodyText"/>
        <w:rPr>
          <w:lang w:val="en-US"/>
        </w:rPr>
      </w:pPr>
      <w:r w:rsidRPr="002513B4">
        <w:rPr>
          <w:lang w:val="en-US"/>
        </w:rPr>
        <w:t>Survey vendors should also provide telephone survey supervisors with an understanding of effective quality control procedures to monitor and supervise interviewers.</w:t>
      </w:r>
    </w:p>
    <w:p w14:paraId="0D716EE6" w14:textId="3BCB092A" w:rsidR="00EE74F9" w:rsidRPr="002513B4" w:rsidRDefault="00EE74F9" w:rsidP="00EE74F9">
      <w:pPr>
        <w:pStyle w:val="BodyText"/>
        <w:rPr>
          <w:lang w:val="en-US"/>
        </w:rPr>
      </w:pPr>
      <w:r w:rsidRPr="002513B4">
        <w:rPr>
          <w:lang w:val="en-US"/>
        </w:rPr>
        <w:t xml:space="preserve">Vendors must conduct a certification process of some kind—either oral, written, or both—for each interviewer and customer </w:t>
      </w:r>
      <w:r w:rsidR="002F1A4D" w:rsidRPr="002513B4">
        <w:rPr>
          <w:lang w:val="en-US"/>
        </w:rPr>
        <w:t xml:space="preserve">support </w:t>
      </w:r>
      <w:r w:rsidRPr="002513B4">
        <w:rPr>
          <w:lang w:val="en-US"/>
        </w:rPr>
        <w:t xml:space="preserve">staff member prior to permitting that person to make or take calls on the HHCAHPS Survey. The certification should be designed to assess the </w:t>
      </w:r>
      <w:r w:rsidR="002F1A4D" w:rsidRPr="002513B4">
        <w:rPr>
          <w:lang w:val="en-US"/>
        </w:rPr>
        <w:t xml:space="preserve">staff’s </w:t>
      </w:r>
      <w:r w:rsidRPr="002513B4">
        <w:rPr>
          <w:lang w:val="en-US"/>
        </w:rPr>
        <w:t xml:space="preserve">level of knowledge and comfort with the HHCAHPS Survey instrument and ability to respond to sample members’ questions about the survey. Documentation of training and </w:t>
      </w:r>
      <w:r w:rsidRPr="002513B4">
        <w:rPr>
          <w:lang w:val="en-US"/>
        </w:rPr>
        <w:lastRenderedPageBreak/>
        <w:t xml:space="preserve">certification of all staff and outcomes will be subject to review during </w:t>
      </w:r>
      <w:r w:rsidR="00705429" w:rsidRPr="002513B4">
        <w:rPr>
          <w:lang w:val="en-US"/>
        </w:rPr>
        <w:t xml:space="preserve">site </w:t>
      </w:r>
      <w:r w:rsidRPr="002513B4">
        <w:rPr>
          <w:lang w:val="en-US"/>
        </w:rPr>
        <w:t xml:space="preserve">visits by the </w:t>
      </w:r>
      <w:r w:rsidR="00F2734F" w:rsidRPr="002513B4">
        <w:rPr>
          <w:lang w:val="en-US"/>
        </w:rPr>
        <w:t>HHCAHPS Survey Coordination Team</w:t>
      </w:r>
      <w:r w:rsidRPr="002513B4">
        <w:rPr>
          <w:lang w:val="en-US"/>
        </w:rPr>
        <w:t>.</w:t>
      </w:r>
    </w:p>
    <w:p w14:paraId="53B816EA" w14:textId="093A54A8" w:rsidR="00EE74F9" w:rsidRPr="002513B4" w:rsidRDefault="00E0198E" w:rsidP="00EE74F9">
      <w:pPr>
        <w:pStyle w:val="Heading3"/>
        <w:rPr>
          <w:lang w:val="en-US"/>
        </w:rPr>
      </w:pPr>
      <w:bookmarkStart w:id="227" w:name="_Toc407633077"/>
      <w:bookmarkStart w:id="228" w:name="_Toc24713354"/>
      <w:bookmarkStart w:id="229" w:name="_Toc217305591"/>
      <w:r w:rsidRPr="002513B4">
        <w:rPr>
          <w:lang w:val="en-US"/>
        </w:rPr>
        <w:t>6.6</w:t>
      </w:r>
      <w:r w:rsidRPr="002513B4">
        <w:rPr>
          <w:lang w:val="en-US"/>
        </w:rPr>
        <w:tab/>
      </w:r>
      <w:r w:rsidR="00EE74F9" w:rsidRPr="002513B4">
        <w:rPr>
          <w:lang w:val="en-US"/>
        </w:rPr>
        <w:t>Distressed Respondent Procedures</w:t>
      </w:r>
      <w:bookmarkEnd w:id="227"/>
      <w:bookmarkEnd w:id="228"/>
      <w:bookmarkEnd w:id="229"/>
    </w:p>
    <w:p w14:paraId="5853F309" w14:textId="56364267" w:rsidR="00EE74F9" w:rsidRPr="002513B4" w:rsidRDefault="0060517E" w:rsidP="00EE74F9">
      <w:pPr>
        <w:pStyle w:val="BodyText"/>
        <w:rPr>
          <w:szCs w:val="24"/>
          <w:lang w:val="en-US"/>
        </w:rPr>
      </w:pPr>
      <w:r w:rsidRPr="002513B4">
        <w:rPr>
          <w:lang w:val="en-US"/>
        </w:rPr>
        <w:t xml:space="preserve">It is critically </w:t>
      </w:r>
      <w:r w:rsidR="00EE74F9" w:rsidRPr="002513B4">
        <w:rPr>
          <w:lang w:val="en-US"/>
        </w:rPr>
        <w:t>importan</w:t>
      </w:r>
      <w:r w:rsidRPr="002513B4">
        <w:rPr>
          <w:lang w:val="en-US"/>
        </w:rPr>
        <w:t>t that</w:t>
      </w:r>
      <w:r w:rsidR="00EE74F9" w:rsidRPr="002513B4">
        <w:rPr>
          <w:lang w:val="en-US"/>
        </w:rPr>
        <w:t xml:space="preserve"> survey vendors develop a “distressed respondent protocol,” to be incorporated into all interviewer and </w:t>
      </w:r>
      <w:r w:rsidR="002F1A4D" w:rsidRPr="002513B4">
        <w:rPr>
          <w:lang w:val="en-US"/>
        </w:rPr>
        <w:t>customer support staff</w:t>
      </w:r>
      <w:r w:rsidR="00EE74F9" w:rsidRPr="002513B4">
        <w:rPr>
          <w:lang w:val="en-US"/>
        </w:rPr>
        <w:t xml:space="preserve"> training. </w:t>
      </w:r>
      <w:r w:rsidR="00EE74F9" w:rsidRPr="002513B4">
        <w:rPr>
          <w:szCs w:val="24"/>
          <w:lang w:val="en-US"/>
        </w:rPr>
        <w:t>Handling distressed respondent situations require</w:t>
      </w:r>
      <w:r w:rsidR="00705429" w:rsidRPr="002513B4">
        <w:rPr>
          <w:szCs w:val="24"/>
          <w:lang w:val="en-US"/>
        </w:rPr>
        <w:t xml:space="preserve"> the staff member to balance</w:t>
      </w:r>
      <w:r w:rsidR="00EE74F9" w:rsidRPr="002513B4">
        <w:rPr>
          <w:szCs w:val="24"/>
          <w:lang w:val="en-US"/>
        </w:rPr>
        <w:t xml:space="preserve"> keeping PII and private health information (PHI) confidential </w:t>
      </w:r>
      <w:r w:rsidR="00705429" w:rsidRPr="002513B4">
        <w:rPr>
          <w:szCs w:val="24"/>
          <w:lang w:val="en-US"/>
        </w:rPr>
        <w:t xml:space="preserve">with </w:t>
      </w:r>
      <w:r w:rsidR="00EE74F9" w:rsidRPr="002513B4">
        <w:rPr>
          <w:szCs w:val="24"/>
          <w:lang w:val="en-US"/>
        </w:rPr>
        <w:t xml:space="preserve">helping a person who needs assistance. For survey research organizations, best interviewing practices recommend having a distressed respondent protocol in place, which balances the respondent’s right to confidentiality and privacy and </w:t>
      </w:r>
      <w:proofErr w:type="gramStart"/>
      <w:r w:rsidR="00EE74F9" w:rsidRPr="002513B4">
        <w:rPr>
          <w:szCs w:val="24"/>
          <w:lang w:val="en-US"/>
        </w:rPr>
        <w:t>providing assistance</w:t>
      </w:r>
      <w:proofErr w:type="gramEnd"/>
      <w:r w:rsidR="00EE74F9" w:rsidRPr="002513B4">
        <w:rPr>
          <w:szCs w:val="24"/>
          <w:lang w:val="en-US"/>
        </w:rPr>
        <w:t>, if the situation indicates that the respondent’s health and safety are in jeopardy.</w:t>
      </w:r>
    </w:p>
    <w:p w14:paraId="279F8CEB" w14:textId="752D0615" w:rsidR="00EE74F9" w:rsidRPr="002513B4" w:rsidRDefault="00EE74F9" w:rsidP="00EE74F9">
      <w:pPr>
        <w:pStyle w:val="BodyText"/>
        <w:rPr>
          <w:lang w:val="en-US"/>
        </w:rPr>
      </w:pPr>
      <w:r w:rsidRPr="002513B4">
        <w:rPr>
          <w:lang w:val="en-US"/>
        </w:rPr>
        <w:t xml:space="preserve">Each approved HHCAHPS Survey vendor is expected to have procedures in place for handling distressed respondent situations and to follow those procedures. CMS and the </w:t>
      </w:r>
      <w:r w:rsidR="00F2734F" w:rsidRPr="002513B4">
        <w:rPr>
          <w:lang w:val="en-US"/>
        </w:rPr>
        <w:t>HHCAHPS Survey Coordination Team</w:t>
      </w:r>
      <w:r w:rsidRPr="002513B4">
        <w:rPr>
          <w:lang w:val="en-US"/>
        </w:rPr>
        <w:t xml:space="preserve"> cannot provide guid</w:t>
      </w:r>
      <w:r w:rsidR="00525832" w:rsidRPr="002513B4">
        <w:rPr>
          <w:lang w:val="en-US"/>
        </w:rPr>
        <w:t>ance</w:t>
      </w:r>
      <w:r w:rsidRPr="002513B4">
        <w:rPr>
          <w:lang w:val="en-US"/>
        </w:rPr>
        <w:t xml:space="preserve"> on how to evaluate or handle distressed respondents. However, survey vendors are urged to consult with their organization’s Committee for the Protection of Human Subjects Institutional Review Board (IRB) for guidance. In addition, professional associations for researchers, such as the American Association of Public Opinion Researchers (AAPOR), may be able to provide guidance regarding this issue. The following is an excerpt from AAPOR’s website that lists resources for the protection of human subjects. More information about protection of human subjects</w:t>
      </w:r>
      <w:r w:rsidRPr="002513B4">
        <w:rPr>
          <w:sz w:val="16"/>
          <w:szCs w:val="16"/>
          <w:lang w:val="en-US"/>
        </w:rPr>
        <w:t xml:space="preserve"> </w:t>
      </w:r>
      <w:r w:rsidRPr="002513B4">
        <w:rPr>
          <w:lang w:val="en-US"/>
        </w:rPr>
        <w:t xml:space="preserve">is available at </w:t>
      </w:r>
      <w:hyperlink r:id="rId96" w:history="1">
        <w:r w:rsidRPr="002513B4">
          <w:rPr>
            <w:rStyle w:val="Hyperlink"/>
            <w:lang w:val="en-US"/>
          </w:rPr>
          <w:t>AAPOR’s website</w:t>
        </w:r>
      </w:hyperlink>
      <w:r w:rsidRPr="002513B4">
        <w:rPr>
          <w:lang w:val="en-US"/>
        </w:rPr>
        <w:t xml:space="preserve"> </w:t>
      </w:r>
      <w:r w:rsidR="006D56E8" w:rsidRPr="002513B4">
        <w:rPr>
          <w:noProof/>
          <w:lang w:val="en-US"/>
        </w:rPr>
        <w:drawing>
          <wp:inline distT="0" distB="0" distL="0" distR="0" wp14:anchorId="5B4F3EDA" wp14:editId="0A2B0857">
            <wp:extent cx="95250" cy="95250"/>
            <wp:effectExtent l="0" t="0" r="0" b="0"/>
            <wp:docPr id="70014846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lang w:val="en-US"/>
        </w:rPr>
        <w:t>.</w:t>
      </w:r>
      <w:r w:rsidRPr="002513B4">
        <w:rPr>
          <w:rStyle w:val="FootnoteReference"/>
          <w:szCs w:val="24"/>
          <w:lang w:val="en-US"/>
        </w:rPr>
        <w:footnoteReference w:id="9"/>
      </w:r>
    </w:p>
    <w:p w14:paraId="2EEDD562" w14:textId="77777777" w:rsidR="00EE74F9" w:rsidRPr="002513B4" w:rsidRDefault="00EE74F9" w:rsidP="00D26DE5">
      <w:pPr>
        <w:pStyle w:val="ListBullet"/>
      </w:pPr>
      <w:r w:rsidRPr="002513B4">
        <w:t>The Belmont Report (guidelines and recommendations that gave rise to current federal regulations)</w:t>
      </w:r>
    </w:p>
    <w:p w14:paraId="751FEB69" w14:textId="77777777" w:rsidR="00EE74F9" w:rsidRPr="002513B4" w:rsidRDefault="00EE74F9" w:rsidP="00D26DE5">
      <w:pPr>
        <w:pStyle w:val="ListBullet"/>
      </w:pPr>
      <w:r w:rsidRPr="002513B4">
        <w:t>Federal Regulations Regarding Protection of Human Research Subjects (45 CFR 46) (also known as the Common Rule)</w:t>
      </w:r>
    </w:p>
    <w:p w14:paraId="6497210A" w14:textId="77777777" w:rsidR="00EE74F9" w:rsidRPr="002513B4" w:rsidRDefault="00EE74F9" w:rsidP="00D26DE5">
      <w:pPr>
        <w:pStyle w:val="ListBullet"/>
      </w:pPr>
      <w:r w:rsidRPr="002513B4">
        <w:t>Federal Office for Human Research Protections (OHRP)</w:t>
      </w:r>
    </w:p>
    <w:p w14:paraId="14DB6D41" w14:textId="77777777" w:rsidR="00EE74F9" w:rsidRPr="002513B4" w:rsidRDefault="00EE74F9" w:rsidP="00D26DE5">
      <w:pPr>
        <w:pStyle w:val="ListBullet"/>
      </w:pPr>
      <w:r w:rsidRPr="002513B4">
        <w:t>NIH Human Participant Investigator Training (although the site appears to be for cancer researchers, it is the site for the general investigator training used by many institutions)</w:t>
      </w:r>
    </w:p>
    <w:p w14:paraId="40FB0A50" w14:textId="77777777" w:rsidR="00EE74F9" w:rsidRPr="002513B4" w:rsidRDefault="00EE74F9" w:rsidP="00D26DE5">
      <w:pPr>
        <w:pStyle w:val="ListBullet"/>
      </w:pPr>
      <w:r w:rsidRPr="002513B4">
        <w:t>University of Minnesota Web-Based Instruction on Informed Consent</w:t>
      </w:r>
    </w:p>
    <w:p w14:paraId="79C785A3" w14:textId="30222C39" w:rsidR="00EE74F9" w:rsidRPr="002513B4" w:rsidRDefault="00E0198E" w:rsidP="00EE74F9">
      <w:pPr>
        <w:pStyle w:val="Heading3"/>
        <w:rPr>
          <w:lang w:val="en-US"/>
        </w:rPr>
      </w:pPr>
      <w:bookmarkStart w:id="230" w:name="_Toc224984425"/>
      <w:bookmarkStart w:id="231" w:name="_Toc251318154"/>
      <w:bookmarkStart w:id="232" w:name="_Toc407633078"/>
      <w:bookmarkStart w:id="233" w:name="_Toc24713355"/>
      <w:bookmarkStart w:id="234" w:name="_Toc217305592"/>
      <w:r w:rsidRPr="002513B4">
        <w:rPr>
          <w:lang w:val="en-US"/>
        </w:rPr>
        <w:lastRenderedPageBreak/>
        <w:t>6.7</w:t>
      </w:r>
      <w:r w:rsidRPr="002513B4">
        <w:rPr>
          <w:lang w:val="en-US"/>
        </w:rPr>
        <w:tab/>
      </w:r>
      <w:r w:rsidR="00EE74F9" w:rsidRPr="002513B4">
        <w:rPr>
          <w:lang w:val="en-US"/>
        </w:rPr>
        <w:t>Telephone Data Processing Procedures</w:t>
      </w:r>
      <w:bookmarkEnd w:id="230"/>
      <w:bookmarkEnd w:id="231"/>
      <w:bookmarkEnd w:id="232"/>
      <w:bookmarkEnd w:id="233"/>
      <w:bookmarkEnd w:id="234"/>
    </w:p>
    <w:p w14:paraId="765EB19A" w14:textId="77777777" w:rsidR="00EE74F9" w:rsidRPr="002513B4" w:rsidRDefault="00EE74F9" w:rsidP="00EE74F9">
      <w:pPr>
        <w:pStyle w:val="BodyText"/>
        <w:rPr>
          <w:lang w:val="en-US"/>
        </w:rPr>
      </w:pPr>
      <w:r w:rsidRPr="002513B4">
        <w:rPr>
          <w:lang w:val="en-US"/>
        </w:rPr>
        <w:t>The following guidelines are provided for ensuring that the telephone interview data are properly processed and managed.</w:t>
      </w:r>
    </w:p>
    <w:p w14:paraId="29D056A9" w14:textId="28FCB497" w:rsidR="00EE74F9" w:rsidRPr="002513B4" w:rsidRDefault="00E0198E" w:rsidP="00EE74F9">
      <w:pPr>
        <w:pStyle w:val="Heading4"/>
        <w:rPr>
          <w:lang w:val="en-US"/>
        </w:rPr>
      </w:pPr>
      <w:r w:rsidRPr="002513B4">
        <w:rPr>
          <w:lang w:val="en-US"/>
        </w:rPr>
        <w:t>6.7.1</w:t>
      </w:r>
      <w:r w:rsidR="00D26DE5" w:rsidRPr="002513B4">
        <w:rPr>
          <w:lang w:val="en-US"/>
        </w:rPr>
        <w:tab/>
      </w:r>
      <w:r w:rsidR="00EE74F9" w:rsidRPr="002513B4">
        <w:rPr>
          <w:lang w:val="en-US"/>
        </w:rPr>
        <w:t>Telephone Data Processing Requirements</w:t>
      </w:r>
    </w:p>
    <w:p w14:paraId="389952A8" w14:textId="77777777" w:rsidR="00EE74F9" w:rsidRPr="002513B4" w:rsidRDefault="00EE74F9" w:rsidP="00EE74F9">
      <w:pPr>
        <w:pStyle w:val="ListBullet"/>
        <w:spacing w:after="200"/>
      </w:pPr>
      <w:r w:rsidRPr="002513B4">
        <w:t xml:space="preserve">A unique sample identification (SID) number must be assigned to each sample case and included in the case management system and on the final </w:t>
      </w:r>
      <w:r w:rsidR="0060517E" w:rsidRPr="002513B4">
        <w:t xml:space="preserve">XML </w:t>
      </w:r>
      <w:r w:rsidRPr="002513B4">
        <w:t>data file for each sample member.</w:t>
      </w:r>
    </w:p>
    <w:p w14:paraId="6D04D8E3" w14:textId="2475CD6D" w:rsidR="007E33BB" w:rsidRPr="002513B4" w:rsidRDefault="00EE74F9" w:rsidP="00EE74F9">
      <w:pPr>
        <w:pStyle w:val="ListBullet"/>
        <w:spacing w:after="200"/>
      </w:pPr>
      <w:r w:rsidRPr="002513B4">
        <w:t xml:space="preserve">Vendors must enter the date of the interview with each </w:t>
      </w:r>
      <w:r w:rsidR="0060517E" w:rsidRPr="002513B4">
        <w:t>respondent</w:t>
      </w:r>
      <w:r w:rsidRPr="002513B4">
        <w:t xml:space="preserve"> in the </w:t>
      </w:r>
      <w:r w:rsidR="00A70383" w:rsidRPr="002513B4">
        <w:t xml:space="preserve">case </w:t>
      </w:r>
      <w:r w:rsidRPr="002513B4">
        <w:t xml:space="preserve">management system or in the interview data. </w:t>
      </w:r>
    </w:p>
    <w:p w14:paraId="6E015ED8" w14:textId="56569A59" w:rsidR="00EE74F9" w:rsidRPr="002513B4" w:rsidRDefault="00EE74F9" w:rsidP="00EE74F9">
      <w:pPr>
        <w:pStyle w:val="ListBullet"/>
        <w:spacing w:after="200"/>
      </w:pPr>
      <w:r w:rsidRPr="002513B4">
        <w:t xml:space="preserve">Vendors must be able to link each telephone interview to their </w:t>
      </w:r>
      <w:r w:rsidR="00A70383" w:rsidRPr="002513B4">
        <w:t xml:space="preserve">case </w:t>
      </w:r>
      <w:r w:rsidRPr="002513B4">
        <w:t>management system, so that appropriate data elements, such as the language in which the survey was conducted, can be pulled into the final</w:t>
      </w:r>
      <w:r w:rsidR="0060517E" w:rsidRPr="002513B4">
        <w:t xml:space="preserve"> XML</w:t>
      </w:r>
      <w:r w:rsidRPr="002513B4">
        <w:t xml:space="preserve"> data file.</w:t>
      </w:r>
    </w:p>
    <w:p w14:paraId="45A07157" w14:textId="77777777" w:rsidR="00EE74F9" w:rsidRPr="002513B4" w:rsidRDefault="00EE74F9" w:rsidP="00EE74F9">
      <w:pPr>
        <w:pStyle w:val="ListBullet"/>
        <w:spacing w:after="200"/>
      </w:pPr>
      <w:r w:rsidRPr="002513B4">
        <w:t xml:space="preserve">Vendors must de-identify all telephone interview data when the data are transferred into the final </w:t>
      </w:r>
      <w:r w:rsidR="007E33BB" w:rsidRPr="002513B4">
        <w:t xml:space="preserve">XML </w:t>
      </w:r>
      <w:r w:rsidRPr="002513B4">
        <w:t>data file for delivery. Identifiable data include respondent names and contact information.</w:t>
      </w:r>
    </w:p>
    <w:p w14:paraId="1822BE2E" w14:textId="61BB1FAA" w:rsidR="0003531C" w:rsidRPr="002513B4" w:rsidRDefault="00EE74F9" w:rsidP="0003531C">
      <w:pPr>
        <w:pStyle w:val="ListBullet"/>
      </w:pPr>
      <w:r w:rsidRPr="002513B4">
        <w:t xml:space="preserve">Vendors must assign a final HHCAHPS Survey status or disposition code to each case (see </w:t>
      </w:r>
      <w:r w:rsidR="00295718" w:rsidRPr="002513B4">
        <w:rPr>
          <w:b/>
          <w:bCs/>
          <w:i/>
          <w:iCs/>
        </w:rPr>
        <w:t>Section 9.3</w:t>
      </w:r>
      <w:r w:rsidRPr="002513B4">
        <w:t xml:space="preserve"> for a list of these codes) and include a final disposition code for each sampled case in the final</w:t>
      </w:r>
      <w:r w:rsidR="007E33BB" w:rsidRPr="002513B4">
        <w:t xml:space="preserve"> XML</w:t>
      </w:r>
      <w:r w:rsidRPr="002513B4">
        <w:t xml:space="preserve"> data file. It is up to the vendor to develop and use a set of pending disposition codes to track actions on a case before it is finalized appropriately</w:t>
      </w:r>
      <w:r w:rsidR="007F00A4" w:rsidRPr="002513B4">
        <w:t>. P</w:t>
      </w:r>
      <w:r w:rsidRPr="002513B4">
        <w:t>ending disposition codes are not specified in the HHCAHPS Survey protocol.</w:t>
      </w:r>
    </w:p>
    <w:p w14:paraId="4DEFB6C1" w14:textId="76870560" w:rsidR="0003531C" w:rsidRPr="002513B4" w:rsidRDefault="0003531C" w:rsidP="00A2712F">
      <w:pPr>
        <w:pStyle w:val="ListBullet"/>
      </w:pPr>
      <w:r w:rsidRPr="002513B4">
        <w:t xml:space="preserve">Vendors must consider the full </w:t>
      </w:r>
      <w:r w:rsidR="00DB40F4" w:rsidRPr="002513B4">
        <w:t>c</w:t>
      </w:r>
      <w:r w:rsidRPr="002513B4">
        <w:t>alling history of the record when assigning a final status code. Vendors should not assign the final status code based solely on the final call attempt.</w:t>
      </w:r>
    </w:p>
    <w:p w14:paraId="382FDC00" w14:textId="5CF55703" w:rsidR="00EE74F9" w:rsidRPr="002513B4" w:rsidRDefault="00E0198E" w:rsidP="00EE74F9">
      <w:pPr>
        <w:pStyle w:val="Heading3"/>
        <w:rPr>
          <w:lang w:val="en-US"/>
        </w:rPr>
      </w:pPr>
      <w:bookmarkStart w:id="235" w:name="_Toc224984426"/>
      <w:bookmarkStart w:id="236" w:name="_Toc251318155"/>
      <w:bookmarkStart w:id="237" w:name="_Toc407633079"/>
      <w:bookmarkStart w:id="238" w:name="_Toc24713356"/>
      <w:bookmarkStart w:id="239" w:name="_Toc217305593"/>
      <w:r w:rsidRPr="002513B4">
        <w:rPr>
          <w:lang w:val="en-US"/>
        </w:rPr>
        <w:t>6.8</w:t>
      </w:r>
      <w:r w:rsidRPr="002513B4">
        <w:rPr>
          <w:lang w:val="en-US"/>
        </w:rPr>
        <w:tab/>
      </w:r>
      <w:r w:rsidR="00EE74F9" w:rsidRPr="002513B4">
        <w:rPr>
          <w:lang w:val="en-US"/>
        </w:rPr>
        <w:t>Telephone-Only Quality Control Guidelines</w:t>
      </w:r>
      <w:bookmarkEnd w:id="235"/>
      <w:bookmarkEnd w:id="236"/>
      <w:bookmarkEnd w:id="237"/>
      <w:bookmarkEnd w:id="238"/>
      <w:bookmarkEnd w:id="239"/>
    </w:p>
    <w:p w14:paraId="1F17C88A" w14:textId="77777777" w:rsidR="00EE74F9" w:rsidRPr="002513B4" w:rsidRDefault="00EE74F9" w:rsidP="00EE74F9">
      <w:pPr>
        <w:pStyle w:val="BodyText"/>
        <w:rPr>
          <w:lang w:val="en-US"/>
        </w:rPr>
      </w:pPr>
      <w:r w:rsidRPr="002513B4">
        <w:rPr>
          <w:lang w:val="en-US"/>
        </w:rPr>
        <w:t xml:space="preserve">The following activities are methods to incorporate quality control into the telephone-only survey administration procedures. Quality control </w:t>
      </w:r>
      <w:r w:rsidR="007E33BB" w:rsidRPr="002513B4">
        <w:rPr>
          <w:lang w:val="en-US"/>
        </w:rPr>
        <w:t xml:space="preserve">checks should be conducted by a different staff person than the one who completed the task. </w:t>
      </w:r>
    </w:p>
    <w:p w14:paraId="6E75161E" w14:textId="3CD9A41A" w:rsidR="007E33BB" w:rsidRPr="002513B4" w:rsidRDefault="00E0198E" w:rsidP="007E33BB">
      <w:pPr>
        <w:pStyle w:val="Heading4"/>
        <w:rPr>
          <w:lang w:val="en-US"/>
        </w:rPr>
      </w:pPr>
      <w:r w:rsidRPr="002513B4">
        <w:rPr>
          <w:lang w:val="en-US"/>
        </w:rPr>
        <w:t>6.8.1</w:t>
      </w:r>
      <w:r w:rsidR="00706325" w:rsidRPr="002513B4">
        <w:rPr>
          <w:lang w:val="en-US"/>
        </w:rPr>
        <w:tab/>
      </w:r>
      <w:r w:rsidR="007E33BB" w:rsidRPr="002513B4">
        <w:rPr>
          <w:lang w:val="en-US"/>
        </w:rPr>
        <w:t>Require</w:t>
      </w:r>
      <w:r w:rsidR="002C2185" w:rsidRPr="002513B4">
        <w:rPr>
          <w:lang w:val="en-US"/>
        </w:rPr>
        <w:t>ments</w:t>
      </w:r>
      <w:r w:rsidR="007E33BB" w:rsidRPr="002513B4">
        <w:rPr>
          <w:lang w:val="en-US"/>
        </w:rPr>
        <w:t xml:space="preserve"> for Telephone Protocol</w:t>
      </w:r>
    </w:p>
    <w:p w14:paraId="1CDE81C0" w14:textId="38707D60" w:rsidR="007E33BB" w:rsidRPr="002513B4" w:rsidRDefault="007E33BB" w:rsidP="00EE74F9">
      <w:pPr>
        <w:pStyle w:val="ListBullet"/>
      </w:pPr>
      <w:r w:rsidRPr="002513B4">
        <w:t>HHCAHPS requires that survey vendors thoroughly test the electronic telephone interviewing system before beginning the HHCAHPS Survey. Testing will vary from system to system, but includes at a minimum comparing each screen to the telephone script</w:t>
      </w:r>
      <w:r w:rsidR="00A70383" w:rsidRPr="002513B4">
        <w:t>s</w:t>
      </w:r>
      <w:r w:rsidRPr="002513B4">
        <w:t xml:space="preserve"> (</w:t>
      </w:r>
      <w:r w:rsidR="00A70383" w:rsidRPr="002513B4">
        <w:t xml:space="preserve">on the </w:t>
      </w:r>
      <w:hyperlink r:id="rId97" w:history="1">
        <w:r w:rsidR="00FA6979" w:rsidRPr="002513B4">
          <w:rPr>
            <w:rStyle w:val="Hyperlink"/>
          </w:rPr>
          <w:t>Survey and Protocols web</w:t>
        </w:r>
        <w:r w:rsidR="00DB4C5C" w:rsidRPr="002513B4">
          <w:rPr>
            <w:rStyle w:val="Hyperlink"/>
          </w:rPr>
          <w:t xml:space="preserve"> </w:t>
        </w:r>
        <w:r w:rsidR="00FA6979" w:rsidRPr="002513B4">
          <w:rPr>
            <w:rStyle w:val="Hyperlink"/>
          </w:rPr>
          <w:t>page</w:t>
        </w:r>
      </w:hyperlink>
      <w:r w:rsidR="00FA6979" w:rsidRPr="002513B4">
        <w:t> </w:t>
      </w:r>
      <w:r w:rsidR="00FA6979" w:rsidRPr="002513B4">
        <w:rPr>
          <w:noProof/>
        </w:rPr>
        <w:drawing>
          <wp:inline distT="0" distB="0" distL="0" distR="0" wp14:anchorId="716AB704" wp14:editId="05B07A29">
            <wp:extent cx="95250" cy="95250"/>
            <wp:effectExtent l="0" t="0" r="0" b="0"/>
            <wp:docPr id="191555331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A6979" w:rsidRPr="002513B4">
        <w:t xml:space="preserve"> of the </w:t>
      </w:r>
      <w:r w:rsidR="00A70383" w:rsidRPr="002513B4">
        <w:t xml:space="preserve">HHCAHPS website and </w:t>
      </w:r>
      <w:r w:rsidRPr="002513B4">
        <w:t xml:space="preserve">in </w:t>
      </w:r>
      <w:r w:rsidRPr="002513B4">
        <w:rPr>
          <w:b/>
          <w:i/>
        </w:rPr>
        <w:t>Appendi</w:t>
      </w:r>
      <w:r w:rsidR="00A70383" w:rsidRPr="002513B4">
        <w:rPr>
          <w:b/>
          <w:i/>
        </w:rPr>
        <w:t>x A</w:t>
      </w:r>
      <w:r w:rsidRPr="002513B4">
        <w:t xml:space="preserve">) to verify that the questions and response options are faithful to the script, checking each question to ensure that the answers input match the data </w:t>
      </w:r>
      <w:r w:rsidRPr="002513B4">
        <w:lastRenderedPageBreak/>
        <w:t>exported, and checking that a respondent is automatically routed to the next appropriate question.</w:t>
      </w:r>
    </w:p>
    <w:p w14:paraId="1F24582D" w14:textId="3C21C654" w:rsidR="00EE74F9" w:rsidRPr="002513B4" w:rsidRDefault="007E33BB" w:rsidP="00EE74F9">
      <w:pPr>
        <w:pStyle w:val="ListBullet"/>
      </w:pPr>
      <w:r w:rsidRPr="002513B4">
        <w:t>Vendors are required to keep w</w:t>
      </w:r>
      <w:r w:rsidR="00EE74F9" w:rsidRPr="002513B4">
        <w:t xml:space="preserve">ritten documentation </w:t>
      </w:r>
      <w:r w:rsidR="005A0457" w:rsidRPr="002513B4">
        <w:t xml:space="preserve">to demonstrate </w:t>
      </w:r>
      <w:r w:rsidR="00EE74F9" w:rsidRPr="002513B4">
        <w:t>that all telephone interviewing and customer support staff have been properly trained</w:t>
      </w:r>
      <w:r w:rsidR="005A0457" w:rsidRPr="002513B4">
        <w:t xml:space="preserve"> and certified</w:t>
      </w:r>
      <w:r w:rsidR="00EE74F9" w:rsidRPr="002513B4">
        <w:t xml:space="preserve"> prior to interviewing. Documentation should be maintained for any retraining required and will be subject to review during oversight visits.</w:t>
      </w:r>
    </w:p>
    <w:p w14:paraId="50577D61" w14:textId="4E869E4C" w:rsidR="00EE74F9" w:rsidRPr="002513B4" w:rsidRDefault="00DF367D" w:rsidP="00EE74F9">
      <w:pPr>
        <w:pStyle w:val="ListBullet"/>
      </w:pPr>
      <w:r w:rsidRPr="002513B4">
        <w:t>V</w:t>
      </w:r>
      <w:r w:rsidR="00EE74F9" w:rsidRPr="002513B4">
        <w:t xml:space="preserve">endors must establish and communicate clear telephone interviewing quality control guidelines for their staff to follow. </w:t>
      </w:r>
      <w:r w:rsidR="005A0457" w:rsidRPr="002513B4">
        <w:t>Vendors should use t</w:t>
      </w:r>
      <w:r w:rsidR="00EE74F9" w:rsidRPr="002513B4">
        <w:t xml:space="preserve">hese guidelines to conduct the monitoring and feedback </w:t>
      </w:r>
      <w:r w:rsidR="005A0457" w:rsidRPr="002513B4">
        <w:t>process and</w:t>
      </w:r>
      <w:r w:rsidR="00EE74F9" w:rsidRPr="002513B4">
        <w:t xml:space="preserve"> should include clear explanations of the consequences of not following protocols, including actions such as removal from the project or termination of employment.</w:t>
      </w:r>
      <w:r w:rsidR="00131AEB" w:rsidRPr="002513B4">
        <w:t xml:space="preserve"> </w:t>
      </w:r>
      <w:r w:rsidR="00420470" w:rsidRPr="002513B4">
        <w:t xml:space="preserve">An example HHCAHPS interviewer monitoring form is available on the </w:t>
      </w:r>
      <w:hyperlink r:id="rId98" w:history="1">
        <w:r w:rsidR="00FA6979" w:rsidRPr="002513B4">
          <w:rPr>
            <w:rStyle w:val="Hyperlink"/>
          </w:rPr>
          <w:t>Survey and Protocols web</w:t>
        </w:r>
        <w:r w:rsidR="00DB4C5C" w:rsidRPr="002513B4">
          <w:rPr>
            <w:rStyle w:val="Hyperlink"/>
          </w:rPr>
          <w:t xml:space="preserve"> </w:t>
        </w:r>
        <w:r w:rsidR="00FA6979" w:rsidRPr="002513B4">
          <w:rPr>
            <w:rStyle w:val="Hyperlink"/>
          </w:rPr>
          <w:t>page</w:t>
        </w:r>
      </w:hyperlink>
      <w:r w:rsidR="00FA6979" w:rsidRPr="002513B4">
        <w:t> </w:t>
      </w:r>
      <w:r w:rsidR="00FA6979" w:rsidRPr="002513B4">
        <w:rPr>
          <w:noProof/>
        </w:rPr>
        <w:drawing>
          <wp:inline distT="0" distB="0" distL="0" distR="0" wp14:anchorId="04820AF8" wp14:editId="7F706E48">
            <wp:extent cx="95250" cy="95250"/>
            <wp:effectExtent l="0" t="0" r="0" b="0"/>
            <wp:docPr id="11216565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A6979" w:rsidRPr="002513B4">
        <w:t xml:space="preserve"> of the </w:t>
      </w:r>
      <w:r w:rsidR="00420470" w:rsidRPr="002513B4">
        <w:t>HHCAHPS website</w:t>
      </w:r>
      <w:r w:rsidR="00167CF5" w:rsidRPr="002513B4">
        <w:t xml:space="preserve"> and linked in </w:t>
      </w:r>
      <w:r w:rsidR="00167CF5" w:rsidRPr="002513B4">
        <w:rPr>
          <w:b/>
          <w:bCs/>
          <w:i/>
          <w:iCs/>
        </w:rPr>
        <w:t>Appendix A</w:t>
      </w:r>
      <w:r w:rsidR="00420470" w:rsidRPr="002513B4">
        <w:t xml:space="preserve">. </w:t>
      </w:r>
    </w:p>
    <w:p w14:paraId="4771D392" w14:textId="5F25079A" w:rsidR="00EE74F9" w:rsidRPr="002513B4" w:rsidRDefault="00EE74F9">
      <w:pPr>
        <w:pStyle w:val="ListBullet"/>
      </w:pPr>
      <w:bookmarkStart w:id="240" w:name="_Hlk121118748"/>
      <w:r w:rsidRPr="002513B4">
        <w:t xml:space="preserve">Vendors </w:t>
      </w:r>
      <w:r w:rsidR="007E33BB" w:rsidRPr="002513B4">
        <w:t xml:space="preserve">are required to </w:t>
      </w:r>
      <w:r w:rsidRPr="002513B4">
        <w:t>silently monitor a minimum of 10</w:t>
      </w:r>
      <w:r w:rsidR="00DF367D" w:rsidRPr="002513B4">
        <w:t>%</w:t>
      </w:r>
      <w:r w:rsidRPr="002513B4">
        <w:t xml:space="preserve"> of all </w:t>
      </w:r>
      <w:r w:rsidR="00A70383" w:rsidRPr="002513B4">
        <w:t xml:space="preserve">HHCAHPS </w:t>
      </w:r>
      <w:r w:rsidRPr="002513B4">
        <w:t>telephone interviews to ensure that correct administration procedures are being followed.</w:t>
      </w:r>
      <w:r w:rsidR="00C5150E" w:rsidRPr="002513B4">
        <w:t xml:space="preserve"> Vendor</w:t>
      </w:r>
      <w:r w:rsidR="00A70383" w:rsidRPr="002513B4">
        <w:t>s</w:t>
      </w:r>
      <w:r w:rsidR="00C5150E" w:rsidRPr="002513B4">
        <w:t xml:space="preserve"> must be able to conduct live monitoring for regular survey operations and site visits.</w:t>
      </w:r>
    </w:p>
    <w:bookmarkEnd w:id="240"/>
    <w:p w14:paraId="74CE6001" w14:textId="42023FEB" w:rsidR="00EE74F9" w:rsidRPr="002513B4" w:rsidRDefault="00EE74F9" w:rsidP="00EE74F9">
      <w:pPr>
        <w:pStyle w:val="ListBullet"/>
      </w:pPr>
      <w:r w:rsidRPr="002513B4">
        <w:t>There are federal and state laws and regulations relating to the monitoring</w:t>
      </w:r>
      <w:r w:rsidR="00A70383" w:rsidRPr="002513B4">
        <w:t xml:space="preserve"> and </w:t>
      </w:r>
      <w:r w:rsidRPr="002513B4">
        <w:t xml:space="preserve">recording of telephone calls. In certain states, consent must be obtained from </w:t>
      </w:r>
      <w:r w:rsidRPr="002513B4">
        <w:rPr>
          <w:b/>
        </w:rPr>
        <w:t xml:space="preserve">every party </w:t>
      </w:r>
      <w:r w:rsidRPr="002513B4">
        <w:t xml:space="preserve">or conversation if it involves more than two people (“two-party consent”). When calling sample members who reside in these states, survey vendors should not begin either monitoring or recording the telephone calls until </w:t>
      </w:r>
      <w:r w:rsidRPr="002513B4">
        <w:rPr>
          <w:i/>
        </w:rPr>
        <w:t>after</w:t>
      </w:r>
      <w:r w:rsidRPr="002513B4">
        <w:t xml:space="preserve"> the interviewer has read the following statement: “This call may be monitored or recorded for quality improvement purposes.”</w:t>
      </w:r>
      <w:r w:rsidRPr="002513B4">
        <w:rPr>
          <w:rStyle w:val="FootnoteReference"/>
        </w:rPr>
        <w:footnoteReference w:id="10"/>
      </w:r>
    </w:p>
    <w:p w14:paraId="2C45E9A5" w14:textId="77777777" w:rsidR="00EE74F9" w:rsidRPr="002513B4" w:rsidRDefault="007E33BB" w:rsidP="00EE74F9">
      <w:pPr>
        <w:pStyle w:val="ListBullet"/>
        <w:spacing w:after="200"/>
      </w:pPr>
      <w:r w:rsidRPr="002513B4">
        <w:t>V</w:t>
      </w:r>
      <w:r w:rsidR="00EE74F9" w:rsidRPr="002513B4">
        <w:t>endors are responsible for identifying and adhering to federal and state laws and regulations in the states in which they will be administering the HHCAHPS Survey.</w:t>
      </w:r>
    </w:p>
    <w:p w14:paraId="11212C58" w14:textId="3EEFB882" w:rsidR="007E33BB" w:rsidRPr="002513B4" w:rsidRDefault="00E0198E" w:rsidP="007E33BB">
      <w:pPr>
        <w:pStyle w:val="Heading4"/>
        <w:rPr>
          <w:lang w:val="en-US"/>
        </w:rPr>
      </w:pPr>
      <w:r w:rsidRPr="002513B4">
        <w:rPr>
          <w:lang w:val="en-US"/>
        </w:rPr>
        <w:t>6.8.2</w:t>
      </w:r>
      <w:r w:rsidR="00706325" w:rsidRPr="002513B4">
        <w:rPr>
          <w:lang w:val="en-US"/>
        </w:rPr>
        <w:tab/>
      </w:r>
      <w:r w:rsidR="007E33BB" w:rsidRPr="002513B4">
        <w:rPr>
          <w:lang w:val="en-US"/>
        </w:rPr>
        <w:t>Recommend</w:t>
      </w:r>
      <w:r w:rsidR="002C2185" w:rsidRPr="002513B4">
        <w:rPr>
          <w:lang w:val="en-US"/>
        </w:rPr>
        <w:t xml:space="preserve">ations </w:t>
      </w:r>
      <w:r w:rsidR="007E33BB" w:rsidRPr="002513B4">
        <w:rPr>
          <w:lang w:val="en-US"/>
        </w:rPr>
        <w:t>for Telephone Protocol</w:t>
      </w:r>
    </w:p>
    <w:p w14:paraId="40AEF7CC" w14:textId="1D06B9E5" w:rsidR="007E33BB" w:rsidRPr="002513B4" w:rsidRDefault="007E33BB" w:rsidP="007E33BB">
      <w:pPr>
        <w:pStyle w:val="ListBullet"/>
      </w:pPr>
      <w:r w:rsidRPr="002513B4">
        <w:t xml:space="preserve">Although not required, we recommend that vendors conduct regular meetings with telephone interviewing and customer support staff to obtain feedback </w:t>
      </w:r>
      <w:r w:rsidR="000E4E8E" w:rsidRPr="002513B4">
        <w:t xml:space="preserve">and discuss quality issues  </w:t>
      </w:r>
      <w:r w:rsidRPr="002513B4">
        <w:t>to</w:t>
      </w:r>
      <w:r w:rsidR="000E4E8E" w:rsidRPr="002513B4">
        <w:t xml:space="preserve"> the</w:t>
      </w:r>
      <w:r w:rsidRPr="002513B4">
        <w:t xml:space="preserve"> telephone survey administration or handling inbound calls.</w:t>
      </w:r>
    </w:p>
    <w:p w14:paraId="1365200F" w14:textId="77777777" w:rsidR="007E33BB" w:rsidRPr="002513B4" w:rsidRDefault="007E33BB" w:rsidP="007E33BB">
      <w:pPr>
        <w:pStyle w:val="ListBullet"/>
      </w:pPr>
      <w:r w:rsidRPr="002513B4">
        <w:t>Monitoring staff or supervisors should provide performance feedback to interviewers as soon as possible after the monitoring session has been completed.</w:t>
      </w:r>
    </w:p>
    <w:p w14:paraId="298B95D9" w14:textId="0C1ADF91" w:rsidR="008A1EE5" w:rsidRPr="002513B4" w:rsidRDefault="008A1EE5" w:rsidP="008A1EE5">
      <w:pPr>
        <w:pStyle w:val="ListBullet"/>
      </w:pPr>
      <w:r w:rsidRPr="002513B4">
        <w:lastRenderedPageBreak/>
        <w:t>Supervisory staff monitoring telephone interviewers should use the CATI or alternative electronic system to observe the interviewer conducting the interview while listening to the audio of the call at the same time.</w:t>
      </w:r>
    </w:p>
    <w:p w14:paraId="6B007AB9" w14:textId="677249D2" w:rsidR="007E33BB" w:rsidRPr="002513B4" w:rsidRDefault="007E33BB" w:rsidP="007E33BB">
      <w:pPr>
        <w:pStyle w:val="ListBullet"/>
      </w:pPr>
      <w:r w:rsidRPr="002513B4">
        <w:t xml:space="preserve">Interviewers should be given the opportunity to correct deficiencies in their </w:t>
      </w:r>
      <w:r w:rsidR="00A70383" w:rsidRPr="002513B4">
        <w:t xml:space="preserve">HHCAHPS Survey </w:t>
      </w:r>
      <w:r w:rsidRPr="002513B4">
        <w:t>administration through additional practice or retraining; however, interviewers who receive consistently poor monitoring scores should be removed from the project.</w:t>
      </w:r>
    </w:p>
    <w:p w14:paraId="0C7103B2" w14:textId="261634E0" w:rsidR="00E57FEC" w:rsidRPr="002513B4" w:rsidRDefault="00E57FEC" w:rsidP="00E57FEC">
      <w:pPr>
        <w:pStyle w:val="ListBullet"/>
      </w:pPr>
      <w:r w:rsidRPr="002513B4">
        <w:t>Vendors should conduct periodic reviews of their XML data files by comparing at least 50 completed telephone interview responses directly from their CATI system to the values output in the XML data file. Doing this review will ensure that the responses are being accurately captured and output to the XML data file.</w:t>
      </w:r>
    </w:p>
    <w:p w14:paraId="66A77A23" w14:textId="77777777" w:rsidR="00E57FEC" w:rsidRPr="002513B4" w:rsidRDefault="00E57FEC" w:rsidP="00E57FEC">
      <w:pPr>
        <w:pStyle w:val="ListBullet"/>
      </w:pPr>
      <w:r w:rsidRPr="002513B4">
        <w:t xml:space="preserve">Review a sample of cases with a noncomplete final code (i.e., cases with a final disposition other than 120 or 310) against the original source of information that resulted in the case being finalized. This could include reviewing telephone interviewer call notes, vendor’s toll-free telephone number call-in tracker, etc. </w:t>
      </w:r>
    </w:p>
    <w:p w14:paraId="42056C94" w14:textId="77777777" w:rsidR="00BD7918" w:rsidRPr="002513B4" w:rsidRDefault="00BD7918">
      <w:pPr>
        <w:spacing w:line="240" w:lineRule="auto"/>
      </w:pPr>
      <w:r w:rsidRPr="002513B4">
        <w:br w:type="page"/>
      </w:r>
    </w:p>
    <w:p w14:paraId="2F9DB5D9" w14:textId="77777777" w:rsidR="00E57FEC" w:rsidRPr="002513B4" w:rsidRDefault="00E57FEC" w:rsidP="00C7404E">
      <w:pPr>
        <w:pStyle w:val="ListBullet"/>
        <w:numPr>
          <w:ilvl w:val="0"/>
          <w:numId w:val="0"/>
        </w:numPr>
        <w:sectPr w:rsidR="00E57FEC" w:rsidRPr="002513B4" w:rsidSect="00C85F17">
          <w:headerReference w:type="even" r:id="rId99"/>
          <w:headerReference w:type="default" r:id="rId100"/>
          <w:footerReference w:type="even" r:id="rId101"/>
          <w:footerReference w:type="default" r:id="rId102"/>
          <w:headerReference w:type="first" r:id="rId103"/>
          <w:footerReference w:type="first" r:id="rId104"/>
          <w:pgSz w:w="12240" w:h="15840" w:code="1"/>
          <w:pgMar w:top="1440" w:right="1440" w:bottom="1440" w:left="1440" w:header="720" w:footer="720" w:gutter="0"/>
          <w:cols w:space="720"/>
          <w:titlePg/>
        </w:sectPr>
      </w:pPr>
    </w:p>
    <w:p w14:paraId="50562597" w14:textId="73839D0A" w:rsidR="00EE74F9" w:rsidRPr="002513B4" w:rsidRDefault="009F27F5" w:rsidP="00EE74F9">
      <w:pPr>
        <w:pStyle w:val="Heading2"/>
        <w:rPr>
          <w:lang w:val="en-US"/>
        </w:rPr>
      </w:pPr>
      <w:bookmarkStart w:id="241" w:name="_Toc224984427"/>
      <w:bookmarkStart w:id="242" w:name="_Toc343765420"/>
      <w:bookmarkStart w:id="243" w:name="_Toc402776492"/>
      <w:bookmarkStart w:id="244" w:name="_Toc217305594"/>
      <w:r w:rsidRPr="002513B4">
        <w:rPr>
          <w:lang w:val="en-US"/>
        </w:rPr>
        <w:lastRenderedPageBreak/>
        <w:t>Chapter</w:t>
      </w:r>
      <w:r w:rsidR="00E0198E" w:rsidRPr="002513B4">
        <w:rPr>
          <w:lang w:val="en-US"/>
        </w:rPr>
        <w:t xml:space="preserve"> </w:t>
      </w:r>
      <w:r w:rsidR="00CC03ED" w:rsidRPr="002513B4">
        <w:rPr>
          <w:lang w:val="en-US"/>
        </w:rPr>
        <w:t>7</w:t>
      </w:r>
      <w:r w:rsidR="00E0198E" w:rsidRPr="002513B4">
        <w:rPr>
          <w:lang w:val="en-US"/>
        </w:rPr>
        <w:t>:</w:t>
      </w:r>
      <w:r w:rsidR="00EE74F9" w:rsidRPr="002513B4">
        <w:rPr>
          <w:lang w:val="en-US"/>
        </w:rPr>
        <w:t xml:space="preserve"> </w:t>
      </w:r>
      <w:bookmarkEnd w:id="241"/>
      <w:r w:rsidR="00EE74F9" w:rsidRPr="002513B4">
        <w:rPr>
          <w:lang w:val="en-US"/>
        </w:rPr>
        <w:t>Mail with Telephone Follow-Up (Mixed-Mode)</w:t>
      </w:r>
      <w:r w:rsidR="00EE74F9" w:rsidRPr="002513B4">
        <w:rPr>
          <w:lang w:val="en-US"/>
        </w:rPr>
        <w:br/>
        <w:t>Survey Administration Procedures</w:t>
      </w:r>
      <w:bookmarkEnd w:id="242"/>
      <w:bookmarkEnd w:id="243"/>
      <w:bookmarkEnd w:id="244"/>
    </w:p>
    <w:p w14:paraId="13ECF0F1" w14:textId="612BE975" w:rsidR="00EE74F9" w:rsidRPr="002513B4" w:rsidRDefault="00CC03ED" w:rsidP="00EE74F9">
      <w:pPr>
        <w:pStyle w:val="Heading3"/>
        <w:rPr>
          <w:lang w:val="en-US"/>
        </w:rPr>
      </w:pPr>
      <w:bookmarkStart w:id="245" w:name="_Toc251318157"/>
      <w:bookmarkStart w:id="246" w:name="_Toc407633081"/>
      <w:bookmarkStart w:id="247" w:name="_Toc24713358"/>
      <w:bookmarkStart w:id="248" w:name="_Toc217305595"/>
      <w:r w:rsidRPr="002513B4">
        <w:rPr>
          <w:lang w:val="en-US"/>
        </w:rPr>
        <w:t>7.1</w:t>
      </w:r>
      <w:r w:rsidRPr="002513B4">
        <w:rPr>
          <w:lang w:val="en-US"/>
        </w:rPr>
        <w:tab/>
      </w:r>
      <w:r w:rsidR="00EE74F9" w:rsidRPr="002513B4">
        <w:rPr>
          <w:lang w:val="en-US"/>
        </w:rPr>
        <w:t>Overview</w:t>
      </w:r>
      <w:bookmarkEnd w:id="245"/>
      <w:bookmarkEnd w:id="246"/>
      <w:bookmarkEnd w:id="247"/>
      <w:bookmarkEnd w:id="248"/>
    </w:p>
    <w:p w14:paraId="03E41449" w14:textId="77777777" w:rsidR="00EE74F9" w:rsidRPr="002513B4" w:rsidRDefault="00EE74F9" w:rsidP="00EE74F9">
      <w:pPr>
        <w:pStyle w:val="BodyText"/>
        <w:rPr>
          <w:lang w:val="en-US"/>
        </w:rPr>
      </w:pPr>
      <w:r w:rsidRPr="002513B4">
        <w:rPr>
          <w:lang w:val="en-US"/>
        </w:rPr>
        <w:t>This chapter describes the requirements and guidelines for implementing a mixed-mode survey administration for the HHCAHPS Survey. For the HHCAHPS</w:t>
      </w:r>
      <w:r w:rsidRPr="002513B4" w:rsidDel="00E218C7">
        <w:rPr>
          <w:lang w:val="en-US"/>
        </w:rPr>
        <w:t xml:space="preserve"> </w:t>
      </w:r>
      <w:r w:rsidRPr="002513B4">
        <w:rPr>
          <w:lang w:val="en-US"/>
        </w:rPr>
        <w:t>Survey, “mixed mode” is defined as a mail survey followed by a telephone survey of nonrespondents.</w:t>
      </w:r>
      <w:r w:rsidR="007944F9" w:rsidRPr="002513B4">
        <w:rPr>
          <w:lang w:val="en-US"/>
        </w:rPr>
        <w:t xml:space="preserve"> </w:t>
      </w:r>
      <w:r w:rsidR="0031557B" w:rsidRPr="002513B4">
        <w:rPr>
          <w:lang w:val="en-US"/>
        </w:rPr>
        <w:t>Vendors are not permitted to conduct mixed</w:t>
      </w:r>
      <w:r w:rsidR="005F4247" w:rsidRPr="002513B4">
        <w:rPr>
          <w:lang w:val="en-US"/>
        </w:rPr>
        <w:t>-</w:t>
      </w:r>
      <w:r w:rsidR="0031557B" w:rsidRPr="002513B4">
        <w:rPr>
          <w:lang w:val="en-US"/>
        </w:rPr>
        <w:t xml:space="preserve">mode surveys where the mail and telephone </w:t>
      </w:r>
      <w:proofErr w:type="spellStart"/>
      <w:r w:rsidR="0031557B" w:rsidRPr="002513B4">
        <w:rPr>
          <w:lang w:val="en-US"/>
        </w:rPr>
        <w:t>modes</w:t>
      </w:r>
      <w:proofErr w:type="spellEnd"/>
      <w:r w:rsidR="0031557B" w:rsidRPr="002513B4">
        <w:rPr>
          <w:lang w:val="en-US"/>
        </w:rPr>
        <w:t xml:space="preserve"> are offered in two different languages. </w:t>
      </w:r>
    </w:p>
    <w:p w14:paraId="5FEAF9FA" w14:textId="05568DEB" w:rsidR="00EE74F9" w:rsidRPr="002513B4" w:rsidRDefault="00EE74F9" w:rsidP="00EE74F9">
      <w:pPr>
        <w:pStyle w:val="BodyText"/>
        <w:rPr>
          <w:lang w:val="en-US"/>
        </w:rPr>
      </w:pPr>
      <w:r w:rsidRPr="002513B4">
        <w:rPr>
          <w:lang w:val="en-US"/>
        </w:rPr>
        <w:t xml:space="preserve">This chapter begins with a discussion of the data collection schedule that should be followed when a mixed-mode design is used. </w:t>
      </w:r>
      <w:r w:rsidR="005D4948" w:rsidRPr="002513B4">
        <w:rPr>
          <w:lang w:val="en-US"/>
        </w:rPr>
        <w:t xml:space="preserve">Please review </w:t>
      </w:r>
      <w:r w:rsidR="005D4948" w:rsidRPr="002513B4">
        <w:rPr>
          <w:b/>
          <w:bCs/>
          <w:i/>
          <w:iCs/>
          <w:lang w:val="en-US"/>
        </w:rPr>
        <w:t>Chapter 5</w:t>
      </w:r>
      <w:r w:rsidR="005D4948" w:rsidRPr="002513B4">
        <w:rPr>
          <w:lang w:val="en-US"/>
        </w:rPr>
        <w:t xml:space="preserve"> and </w:t>
      </w:r>
      <w:r w:rsidR="005D4948" w:rsidRPr="002513B4">
        <w:rPr>
          <w:b/>
          <w:bCs/>
          <w:i/>
          <w:iCs/>
          <w:lang w:val="en-US"/>
        </w:rPr>
        <w:t>Chapter 6</w:t>
      </w:r>
      <w:r w:rsidR="005D4948" w:rsidRPr="002513B4">
        <w:rPr>
          <w:lang w:val="en-US"/>
        </w:rPr>
        <w:t xml:space="preserve"> for the specific requirements for</w:t>
      </w:r>
      <w:r w:rsidR="00F0503D" w:rsidRPr="002513B4">
        <w:rPr>
          <w:lang w:val="en-US"/>
        </w:rPr>
        <w:t xml:space="preserve"> the mail and telephone administration procedures</w:t>
      </w:r>
      <w:r w:rsidR="00774E80" w:rsidRPr="002513B4">
        <w:rPr>
          <w:lang w:val="en-US"/>
        </w:rPr>
        <w:t>, respectively</w:t>
      </w:r>
      <w:r w:rsidR="00F0503D" w:rsidRPr="002513B4">
        <w:rPr>
          <w:lang w:val="en-US"/>
        </w:rPr>
        <w:t>.</w:t>
      </w:r>
      <w:r w:rsidRPr="002513B4">
        <w:rPr>
          <w:lang w:val="en-US"/>
        </w:rPr>
        <w:t xml:space="preserve"> The chapter ends with</w:t>
      </w:r>
      <w:r w:rsidR="002C256C" w:rsidRPr="002513B4">
        <w:rPr>
          <w:lang w:val="en-US"/>
        </w:rPr>
        <w:t xml:space="preserve"> </w:t>
      </w:r>
      <w:r w:rsidR="00E12F39" w:rsidRPr="002513B4">
        <w:rPr>
          <w:lang w:val="en-US"/>
        </w:rPr>
        <w:t xml:space="preserve">several considerations vendors should incorporate into their administration of the </w:t>
      </w:r>
      <w:r w:rsidRPr="002513B4">
        <w:rPr>
          <w:lang w:val="en-US"/>
        </w:rPr>
        <w:t>mixed-mode data collection process.</w:t>
      </w:r>
    </w:p>
    <w:p w14:paraId="5484D445" w14:textId="77A3B00F" w:rsidR="00EE74F9" w:rsidRPr="002513B4" w:rsidRDefault="00CC03ED" w:rsidP="00EE74F9">
      <w:pPr>
        <w:pStyle w:val="Heading3"/>
        <w:rPr>
          <w:lang w:val="en-US"/>
        </w:rPr>
      </w:pPr>
      <w:bookmarkStart w:id="249" w:name="_Toc224984429"/>
      <w:bookmarkStart w:id="250" w:name="_Toc251318158"/>
      <w:bookmarkStart w:id="251" w:name="_Toc407633082"/>
      <w:bookmarkStart w:id="252" w:name="_Toc24713359"/>
      <w:bookmarkStart w:id="253" w:name="_Toc217305596"/>
      <w:r w:rsidRPr="002513B4">
        <w:rPr>
          <w:lang w:val="en-US"/>
        </w:rPr>
        <w:t>7.2</w:t>
      </w:r>
      <w:r w:rsidRPr="002513B4">
        <w:rPr>
          <w:lang w:val="en-US"/>
        </w:rPr>
        <w:tab/>
      </w:r>
      <w:r w:rsidR="00EE74F9" w:rsidRPr="002513B4">
        <w:rPr>
          <w:lang w:val="en-US"/>
        </w:rPr>
        <w:t>Data Collection Schedule</w:t>
      </w:r>
      <w:bookmarkEnd w:id="249"/>
      <w:bookmarkEnd w:id="250"/>
      <w:bookmarkEnd w:id="251"/>
      <w:bookmarkEnd w:id="252"/>
      <w:bookmarkEnd w:id="253"/>
    </w:p>
    <w:p w14:paraId="06D03CDA" w14:textId="77777777" w:rsidR="00EE74F9" w:rsidRPr="002513B4" w:rsidRDefault="00EE74F9" w:rsidP="00EE74F9">
      <w:pPr>
        <w:pStyle w:val="BodyText"/>
        <w:rPr>
          <w:lang w:val="en-US"/>
        </w:rPr>
      </w:pPr>
      <w:r w:rsidRPr="002513B4">
        <w:rPr>
          <w:lang w:val="en-US"/>
        </w:rPr>
        <w:t xml:space="preserve">Survey vendors using mail with telephone follow-up of nonrespondents must initiate the mail survey for each monthly sample no later than 3 weeks (21 days) after the close of the sample month. </w:t>
      </w:r>
      <w:r w:rsidRPr="002513B4">
        <w:rPr>
          <w:b/>
          <w:i/>
          <w:lang w:val="en-US"/>
        </w:rPr>
        <w:t>Table 7.1</w:t>
      </w:r>
      <w:r w:rsidRPr="002513B4">
        <w:rPr>
          <w:lang w:val="en-US"/>
        </w:rPr>
        <w:t xml:space="preserve"> shows the basic tasks and timing of activities when conducting the HHCAHPS Survey using a mixed-mode survey administration.</w:t>
      </w:r>
    </w:p>
    <w:p w14:paraId="7DBB2C3E" w14:textId="5B51B382" w:rsidR="00EE74F9" w:rsidRPr="002513B4" w:rsidRDefault="00EE74F9" w:rsidP="00EE74F9">
      <w:pPr>
        <w:pStyle w:val="TableCaption"/>
      </w:pPr>
      <w:bookmarkStart w:id="254" w:name="_Toc224984597"/>
      <w:bookmarkStart w:id="255" w:name="_Toc251139830"/>
      <w:bookmarkStart w:id="256" w:name="_Toc314215238"/>
      <w:bookmarkStart w:id="257" w:name="_Toc407633139"/>
      <w:bookmarkStart w:id="258" w:name="_Toc24713425"/>
      <w:bookmarkStart w:id="259" w:name="_Toc217024913"/>
      <w:r w:rsidRPr="002513B4">
        <w:t>Table 7.1</w:t>
      </w:r>
      <w:r w:rsidR="003264F7" w:rsidRPr="002513B4">
        <w:t xml:space="preserve"> </w:t>
      </w:r>
      <w:r w:rsidRPr="002513B4">
        <w:t>Tasks and Schedule of Activities for Mail With Telephone Follow-Up</w:t>
      </w:r>
      <w:bookmarkEnd w:id="254"/>
      <w:bookmarkEnd w:id="255"/>
      <w:bookmarkEnd w:id="256"/>
      <w:bookmarkEnd w:id="257"/>
      <w:bookmarkEnd w:id="258"/>
      <w:bookmarkEnd w:id="259"/>
    </w:p>
    <w:tbl>
      <w:tblPr>
        <w:tblW w:w="9360" w:type="dxa"/>
        <w:tblLayout w:type="fixed"/>
        <w:tblCellMar>
          <w:left w:w="115" w:type="dxa"/>
          <w:right w:w="115" w:type="dxa"/>
        </w:tblCellMar>
        <w:tblLook w:val="01E0" w:firstRow="1" w:lastRow="1" w:firstColumn="1" w:lastColumn="1" w:noHBand="0" w:noVBand="0"/>
        <w:tblCaption w:val="Mixed Mode Administration Schedule"/>
        <w:tblDescription w:val="Table 7-1 lists the activities for mail with telephone follow up to administer the HHCAHPS Survey and the timeframe for each"/>
      </w:tblPr>
      <w:tblGrid>
        <w:gridCol w:w="4417"/>
        <w:gridCol w:w="4943"/>
      </w:tblGrid>
      <w:tr w:rsidR="00EE74F9" w:rsidRPr="002513B4" w14:paraId="0534E518" w14:textId="77777777" w:rsidTr="003264F7">
        <w:trPr>
          <w:cantSplit/>
          <w:tblHeader/>
        </w:trPr>
        <w:tc>
          <w:tcPr>
            <w:tcW w:w="4417" w:type="dxa"/>
            <w:tcBorders>
              <w:top w:val="single" w:sz="8" w:space="0" w:color="auto"/>
              <w:bottom w:val="single" w:sz="8" w:space="0" w:color="auto"/>
            </w:tcBorders>
            <w:shd w:val="clear" w:color="auto" w:fill="1F497D"/>
            <w:vAlign w:val="bottom"/>
          </w:tcPr>
          <w:p w14:paraId="109D3772"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Activity</w:t>
            </w:r>
          </w:p>
        </w:tc>
        <w:tc>
          <w:tcPr>
            <w:tcW w:w="4943" w:type="dxa"/>
            <w:tcBorders>
              <w:top w:val="single" w:sz="8" w:space="0" w:color="auto"/>
              <w:bottom w:val="single" w:sz="8" w:space="0" w:color="auto"/>
            </w:tcBorders>
            <w:shd w:val="clear" w:color="auto" w:fill="1F497D"/>
            <w:vAlign w:val="bottom"/>
          </w:tcPr>
          <w:p w14:paraId="7A64B9B2"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Timing</w:t>
            </w:r>
          </w:p>
        </w:tc>
      </w:tr>
      <w:tr w:rsidR="00EE74F9" w:rsidRPr="002513B4" w14:paraId="3D036170" w14:textId="77777777" w:rsidTr="003264F7">
        <w:trPr>
          <w:cantSplit/>
        </w:trPr>
        <w:tc>
          <w:tcPr>
            <w:tcW w:w="4417" w:type="dxa"/>
            <w:tcBorders>
              <w:top w:val="single" w:sz="8" w:space="0" w:color="auto"/>
            </w:tcBorders>
          </w:tcPr>
          <w:p w14:paraId="59456DE8" w14:textId="77777777" w:rsidR="00EE74F9" w:rsidRPr="002513B4" w:rsidRDefault="00EE74F9" w:rsidP="00C553FE">
            <w:pPr>
              <w:pStyle w:val="TableText"/>
              <w:keepNext/>
              <w:rPr>
                <w:sz w:val="18"/>
                <w:szCs w:val="18"/>
              </w:rPr>
            </w:pPr>
            <w:r w:rsidRPr="002513B4">
              <w:rPr>
                <w:sz w:val="18"/>
                <w:szCs w:val="18"/>
              </w:rPr>
              <w:t>Mail questionnaire with cover letter to sample members</w:t>
            </w:r>
          </w:p>
        </w:tc>
        <w:tc>
          <w:tcPr>
            <w:tcW w:w="4943" w:type="dxa"/>
            <w:tcBorders>
              <w:top w:val="single" w:sz="8" w:space="0" w:color="auto"/>
            </w:tcBorders>
          </w:tcPr>
          <w:p w14:paraId="57965338" w14:textId="77777777" w:rsidR="00EE74F9" w:rsidRPr="002513B4" w:rsidRDefault="00EE74F9" w:rsidP="00C553FE">
            <w:pPr>
              <w:pStyle w:val="TableText"/>
              <w:keepNext/>
              <w:rPr>
                <w:sz w:val="18"/>
                <w:szCs w:val="18"/>
              </w:rPr>
            </w:pPr>
            <w:r w:rsidRPr="002513B4">
              <w:rPr>
                <w:sz w:val="18"/>
                <w:szCs w:val="18"/>
              </w:rPr>
              <w:t>No later than 3 weeks (21 days) after the close of the sample month</w:t>
            </w:r>
          </w:p>
        </w:tc>
      </w:tr>
      <w:tr w:rsidR="00EE74F9" w:rsidRPr="002513B4" w14:paraId="23204362" w14:textId="77777777" w:rsidTr="003264F7">
        <w:trPr>
          <w:cantSplit/>
        </w:trPr>
        <w:tc>
          <w:tcPr>
            <w:tcW w:w="4417" w:type="dxa"/>
          </w:tcPr>
          <w:p w14:paraId="45BDD436" w14:textId="77777777" w:rsidR="00EE74F9" w:rsidRPr="002513B4" w:rsidRDefault="00EE74F9" w:rsidP="00C553FE">
            <w:pPr>
              <w:pStyle w:val="TableText"/>
              <w:keepNext/>
              <w:rPr>
                <w:sz w:val="18"/>
                <w:szCs w:val="18"/>
              </w:rPr>
            </w:pPr>
            <w:r w:rsidRPr="002513B4">
              <w:rPr>
                <w:sz w:val="18"/>
                <w:szCs w:val="18"/>
              </w:rPr>
              <w:t>Initiate telephone follow-up contact for all mail survey nonrespondents</w:t>
            </w:r>
          </w:p>
        </w:tc>
        <w:tc>
          <w:tcPr>
            <w:tcW w:w="4943" w:type="dxa"/>
          </w:tcPr>
          <w:p w14:paraId="1E83033F" w14:textId="77777777" w:rsidR="00EE74F9" w:rsidRPr="002513B4" w:rsidRDefault="00EE74F9" w:rsidP="00C553FE">
            <w:pPr>
              <w:pStyle w:val="TableText"/>
              <w:keepNext/>
              <w:rPr>
                <w:sz w:val="18"/>
                <w:szCs w:val="18"/>
              </w:rPr>
            </w:pPr>
            <w:r w:rsidRPr="002513B4">
              <w:rPr>
                <w:sz w:val="18"/>
                <w:szCs w:val="18"/>
              </w:rPr>
              <w:t>Approximately 3 weeks (21 days) after the questionnaire is mailed</w:t>
            </w:r>
          </w:p>
        </w:tc>
      </w:tr>
      <w:tr w:rsidR="00EE74F9" w:rsidRPr="002513B4" w14:paraId="5EBB921C" w14:textId="77777777" w:rsidTr="003264F7">
        <w:trPr>
          <w:cantSplit/>
        </w:trPr>
        <w:tc>
          <w:tcPr>
            <w:tcW w:w="4417" w:type="dxa"/>
          </w:tcPr>
          <w:p w14:paraId="27C5C29F" w14:textId="77777777" w:rsidR="00EE74F9" w:rsidRPr="002513B4" w:rsidRDefault="00EE74F9" w:rsidP="00C553FE">
            <w:pPr>
              <w:pStyle w:val="TableText"/>
              <w:keepNext/>
              <w:rPr>
                <w:sz w:val="18"/>
                <w:szCs w:val="18"/>
              </w:rPr>
            </w:pPr>
            <w:r w:rsidRPr="002513B4">
              <w:rPr>
                <w:sz w:val="18"/>
                <w:szCs w:val="18"/>
              </w:rPr>
              <w:t>Complete data collection</w:t>
            </w:r>
          </w:p>
        </w:tc>
        <w:tc>
          <w:tcPr>
            <w:tcW w:w="4943" w:type="dxa"/>
          </w:tcPr>
          <w:p w14:paraId="68C81431" w14:textId="77777777" w:rsidR="00EE74F9" w:rsidRPr="002513B4" w:rsidRDefault="00EE74F9" w:rsidP="00C553FE">
            <w:pPr>
              <w:pStyle w:val="TableText"/>
              <w:keepNext/>
              <w:rPr>
                <w:sz w:val="18"/>
                <w:szCs w:val="18"/>
              </w:rPr>
            </w:pPr>
            <w:r w:rsidRPr="002513B4">
              <w:rPr>
                <w:sz w:val="18"/>
                <w:szCs w:val="18"/>
              </w:rPr>
              <w:t>Six weeks (42 days) after the questionnaire is mailed</w:t>
            </w:r>
          </w:p>
        </w:tc>
      </w:tr>
      <w:tr w:rsidR="00EE74F9" w:rsidRPr="002513B4" w14:paraId="2F31B4DB" w14:textId="77777777" w:rsidTr="003264F7">
        <w:trPr>
          <w:cantSplit/>
        </w:trPr>
        <w:tc>
          <w:tcPr>
            <w:tcW w:w="4417" w:type="dxa"/>
          </w:tcPr>
          <w:p w14:paraId="5CE1351B" w14:textId="783E5D4D" w:rsidR="00EE74F9" w:rsidRPr="002513B4" w:rsidRDefault="00EE74F9" w:rsidP="00C553FE">
            <w:pPr>
              <w:pStyle w:val="TableText"/>
              <w:keepNext/>
              <w:rPr>
                <w:sz w:val="18"/>
                <w:szCs w:val="18"/>
              </w:rPr>
            </w:pPr>
            <w:r w:rsidRPr="002513B4">
              <w:rPr>
                <w:sz w:val="18"/>
                <w:szCs w:val="18"/>
              </w:rPr>
              <w:t xml:space="preserve">Submit </w:t>
            </w:r>
            <w:r w:rsidR="00D818AA" w:rsidRPr="002513B4">
              <w:rPr>
                <w:sz w:val="18"/>
                <w:szCs w:val="18"/>
              </w:rPr>
              <w:t xml:space="preserve">XML </w:t>
            </w:r>
            <w:r w:rsidRPr="002513B4">
              <w:rPr>
                <w:sz w:val="18"/>
                <w:szCs w:val="18"/>
              </w:rPr>
              <w:t xml:space="preserve">data files to the </w:t>
            </w:r>
            <w:r w:rsidR="00A9060F" w:rsidRPr="002513B4">
              <w:rPr>
                <w:sz w:val="18"/>
                <w:szCs w:val="18"/>
              </w:rPr>
              <w:t xml:space="preserve">HHCAHPS </w:t>
            </w:r>
          </w:p>
        </w:tc>
        <w:tc>
          <w:tcPr>
            <w:tcW w:w="4943" w:type="dxa"/>
          </w:tcPr>
          <w:p w14:paraId="46BF2D17" w14:textId="77777777" w:rsidR="00EE74F9" w:rsidRPr="002513B4" w:rsidRDefault="00EE74F9" w:rsidP="00C553FE">
            <w:pPr>
              <w:pStyle w:val="TableText"/>
              <w:keepNext/>
              <w:rPr>
                <w:sz w:val="18"/>
                <w:szCs w:val="18"/>
              </w:rPr>
            </w:pPr>
            <w:r w:rsidRPr="002513B4">
              <w:rPr>
                <w:sz w:val="18"/>
                <w:szCs w:val="18"/>
              </w:rPr>
              <w:t>See quarterly data submission deadlines on the HHCAHPS Survey website</w:t>
            </w:r>
          </w:p>
        </w:tc>
      </w:tr>
      <w:tr w:rsidR="003264F7" w:rsidRPr="002513B4" w14:paraId="6B46E2ED" w14:textId="77777777" w:rsidTr="003264F7">
        <w:trPr>
          <w:cantSplit/>
        </w:trPr>
        <w:tc>
          <w:tcPr>
            <w:tcW w:w="4417" w:type="dxa"/>
            <w:tcBorders>
              <w:bottom w:val="single" w:sz="8" w:space="0" w:color="auto"/>
            </w:tcBorders>
          </w:tcPr>
          <w:p w14:paraId="3D75BAFB" w14:textId="3EB43E0C" w:rsidR="003264F7" w:rsidRPr="002513B4" w:rsidRDefault="003264F7" w:rsidP="00C553FE">
            <w:pPr>
              <w:pStyle w:val="TableText"/>
              <w:keepNext/>
              <w:rPr>
                <w:sz w:val="18"/>
                <w:szCs w:val="18"/>
              </w:rPr>
            </w:pPr>
            <w:r w:rsidRPr="002513B4">
              <w:rPr>
                <w:sz w:val="18"/>
                <w:szCs w:val="18"/>
              </w:rPr>
              <w:t>Survey Data Center via the HHCAHPS Survey website</w:t>
            </w:r>
          </w:p>
        </w:tc>
        <w:tc>
          <w:tcPr>
            <w:tcW w:w="4943" w:type="dxa"/>
            <w:tcBorders>
              <w:bottom w:val="single" w:sz="8" w:space="0" w:color="auto"/>
            </w:tcBorders>
          </w:tcPr>
          <w:p w14:paraId="68930580" w14:textId="3938C95F" w:rsidR="003264F7" w:rsidRPr="002513B4" w:rsidRDefault="003264F7" w:rsidP="00C553FE">
            <w:pPr>
              <w:pStyle w:val="TableText"/>
              <w:keepNext/>
              <w:rPr>
                <w:sz w:val="18"/>
                <w:szCs w:val="18"/>
              </w:rPr>
            </w:pPr>
            <w:r w:rsidRPr="002513B4">
              <w:rPr>
                <w:sz w:val="18"/>
                <w:szCs w:val="18"/>
              </w:rPr>
              <w:t>See quarterly data submission deadlines on the HHCAHPS Survey website</w:t>
            </w:r>
          </w:p>
        </w:tc>
      </w:tr>
    </w:tbl>
    <w:p w14:paraId="47E46DC0" w14:textId="77777777" w:rsidR="003264F7" w:rsidRPr="002513B4" w:rsidRDefault="003264F7" w:rsidP="00EE74F9">
      <w:pPr>
        <w:pStyle w:val="BodyText"/>
        <w:rPr>
          <w:lang w:val="en-US"/>
        </w:rPr>
      </w:pPr>
    </w:p>
    <w:p w14:paraId="4C8F9E48" w14:textId="2FC8DD74" w:rsidR="00EE74F9" w:rsidRPr="002513B4" w:rsidRDefault="00EE74F9" w:rsidP="00EE74F9">
      <w:pPr>
        <w:pStyle w:val="BodyText"/>
        <w:rPr>
          <w:lang w:val="en-US"/>
        </w:rPr>
      </w:pPr>
      <w:r w:rsidRPr="002513B4">
        <w:rPr>
          <w:lang w:val="en-US"/>
        </w:rPr>
        <w:t xml:space="preserve">If the 21st day of the month falls on a weekend or holiday, vendors should make every attempt to begin the survey on the business day prior to that weekend or holiday. However, </w:t>
      </w:r>
      <w:r w:rsidRPr="002513B4">
        <w:rPr>
          <w:lang w:val="en-US"/>
        </w:rPr>
        <w:lastRenderedPageBreak/>
        <w:t>it is acceptable to mail the questionnaires on the first business day following the weekend or holiday if necessary.</w:t>
      </w:r>
    </w:p>
    <w:p w14:paraId="3B666643" w14:textId="77777777" w:rsidR="00DF1F31" w:rsidRPr="002513B4" w:rsidRDefault="00DF1F31" w:rsidP="00DF1F31">
      <w:pPr>
        <w:pStyle w:val="BodyText"/>
        <w:rPr>
          <w:lang w:val="en-US"/>
        </w:rPr>
      </w:pPr>
      <w:r w:rsidRPr="002513B4">
        <w:rPr>
          <w:lang w:val="en-US"/>
        </w:rPr>
        <w:t xml:space="preserve">As noted in </w:t>
      </w:r>
      <w:r w:rsidRPr="002513B4">
        <w:rPr>
          <w:b/>
          <w:i/>
          <w:lang w:val="en-US"/>
        </w:rPr>
        <w:t>Table 7.1</w:t>
      </w:r>
      <w:r w:rsidRPr="002513B4">
        <w:rPr>
          <w:lang w:val="en-US"/>
        </w:rPr>
        <w:t xml:space="preserve">, data collection must be closed 42 calendar days after the questionnaire is mailed. Note as well that the deadline for data submission is constant. This deadline will not shift later if the vendor starts data collection late. All telephone contact should be initiated and completed within the specified 3-week period noted above in </w:t>
      </w:r>
      <w:r w:rsidRPr="002513B4">
        <w:rPr>
          <w:b/>
          <w:i/>
          <w:lang w:val="en-US"/>
        </w:rPr>
        <w:t>Table 7.1</w:t>
      </w:r>
      <w:r w:rsidRPr="002513B4">
        <w:rPr>
          <w:lang w:val="en-US"/>
        </w:rPr>
        <w:t xml:space="preserve">. Questionnaires may be received through the mail after the case has been referred for telephone follow-up. If these questionnaires arrived </w:t>
      </w:r>
      <w:r w:rsidRPr="002513B4">
        <w:rPr>
          <w:i/>
          <w:lang w:val="en-US"/>
        </w:rPr>
        <w:t>before</w:t>
      </w:r>
      <w:r w:rsidRPr="002513B4">
        <w:rPr>
          <w:lang w:val="en-US"/>
        </w:rPr>
        <w:t xml:space="preserve"> the 6-week data collection period ended, they should be processed and telephone efforts with this case should be stopped. If these questionnaires arrived </w:t>
      </w:r>
      <w:r w:rsidRPr="002513B4">
        <w:rPr>
          <w:i/>
          <w:lang w:val="en-US"/>
        </w:rPr>
        <w:t>after</w:t>
      </w:r>
      <w:r w:rsidRPr="002513B4">
        <w:rPr>
          <w:lang w:val="en-US"/>
        </w:rPr>
        <w:t xml:space="preserve"> the 6-week data collection period ended, they should be considered nonresponses and coded as such.</w:t>
      </w:r>
    </w:p>
    <w:p w14:paraId="626DD94D" w14:textId="1B80BC78" w:rsidR="00DF1F31" w:rsidRPr="002513B4" w:rsidRDefault="00DF1F31" w:rsidP="00DF1F31">
      <w:pPr>
        <w:pStyle w:val="BodyText"/>
        <w:rPr>
          <w:lang w:val="en-US"/>
        </w:rPr>
      </w:pPr>
      <w:r w:rsidRPr="002513B4">
        <w:rPr>
          <w:lang w:val="en-US"/>
        </w:rPr>
        <w:t xml:space="preserve">All cases that </w:t>
      </w:r>
      <w:r w:rsidRPr="002513B4">
        <w:rPr>
          <w:b/>
          <w:i/>
          <w:lang w:val="en-US"/>
        </w:rPr>
        <w:t>are not finalized</w:t>
      </w:r>
      <w:r w:rsidRPr="002513B4">
        <w:rPr>
          <w:lang w:val="en-US"/>
        </w:rPr>
        <w:t xml:space="preserve"> </w:t>
      </w:r>
      <w:proofErr w:type="gramStart"/>
      <w:r w:rsidRPr="002513B4">
        <w:rPr>
          <w:lang w:val="en-US"/>
        </w:rPr>
        <w:t>as a result of</w:t>
      </w:r>
      <w:proofErr w:type="gramEnd"/>
      <w:r w:rsidRPr="002513B4">
        <w:rPr>
          <w:lang w:val="en-US"/>
        </w:rPr>
        <w:t xml:space="preserve"> the mail survey component of mixed-mode administration must be assigned for telephone follow-up, including both cases that are returned blank and undeliverable mail. This means that unless the case was a complete, refusal, or the patient was determined to be ineligible for the survey during the mail survey data collection phase of the survey, survey vendors should follow up with the patient by telephone</w:t>
      </w:r>
      <w:r w:rsidR="00305597" w:rsidRPr="002513B4">
        <w:rPr>
          <w:lang w:val="en-US"/>
        </w:rPr>
        <w:t>.</w:t>
      </w:r>
      <w:r w:rsidRPr="002513B4">
        <w:rPr>
          <w:lang w:val="en-US"/>
        </w:rPr>
        <w:t xml:space="preserve"> See </w:t>
      </w:r>
      <w:r w:rsidRPr="002513B4">
        <w:rPr>
          <w:b/>
          <w:bCs/>
          <w:i/>
          <w:iCs/>
          <w:lang w:val="en-US"/>
        </w:rPr>
        <w:t>Chapter 9</w:t>
      </w:r>
      <w:r w:rsidRPr="002513B4">
        <w:rPr>
          <w:lang w:val="en-US"/>
        </w:rPr>
        <w:t xml:space="preserve"> for additional information on requirements for data processing and coding.</w:t>
      </w:r>
    </w:p>
    <w:p w14:paraId="16464EDD" w14:textId="6E8C7F7A" w:rsidR="00DF1F31" w:rsidRPr="002513B4" w:rsidRDefault="00542741" w:rsidP="002C0633">
      <w:pPr>
        <w:pStyle w:val="Heading3"/>
        <w:rPr>
          <w:lang w:val="en-US"/>
        </w:rPr>
      </w:pPr>
      <w:bookmarkStart w:id="260" w:name="_Toc217305597"/>
      <w:r w:rsidRPr="002513B4">
        <w:rPr>
          <w:lang w:val="en-US"/>
        </w:rPr>
        <w:t>7.3</w:t>
      </w:r>
      <w:r w:rsidR="00305597" w:rsidRPr="002513B4">
        <w:rPr>
          <w:lang w:val="en-US"/>
        </w:rPr>
        <w:tab/>
      </w:r>
      <w:r w:rsidRPr="002513B4">
        <w:rPr>
          <w:lang w:val="en-US"/>
        </w:rPr>
        <w:t>Additional Requirements for Conducting Mixed-Mode Surveys</w:t>
      </w:r>
      <w:bookmarkEnd w:id="260"/>
    </w:p>
    <w:p w14:paraId="3774924C" w14:textId="5B421E1E" w:rsidR="00132148" w:rsidRPr="002513B4" w:rsidRDefault="00132148" w:rsidP="00A2712F">
      <w:pPr>
        <w:pStyle w:val="BodyText"/>
      </w:pPr>
      <w:r w:rsidRPr="002513B4">
        <w:t>Vendors are required to adhere to all requirements for mail survey administration and telephone survey administration as outlined in Chapter 5 and Chapter 6 above.  In the bullets below, we present additional guidelines specific to implementing the HHCAHPS Survey for mixed-mode administration.</w:t>
      </w:r>
    </w:p>
    <w:p w14:paraId="12BABDA3" w14:textId="128A3E24" w:rsidR="004871E4" w:rsidRPr="002513B4" w:rsidRDefault="004871E4" w:rsidP="00576BF4">
      <w:pPr>
        <w:pStyle w:val="Heading4"/>
        <w:numPr>
          <w:ilvl w:val="2"/>
          <w:numId w:val="38"/>
        </w:numPr>
        <w:rPr>
          <w:lang w:val="en-US"/>
        </w:rPr>
      </w:pPr>
      <w:r w:rsidRPr="002513B4">
        <w:rPr>
          <w:lang w:val="en-US"/>
        </w:rPr>
        <w:t>Survey Administration</w:t>
      </w:r>
    </w:p>
    <w:p w14:paraId="1D8A063D" w14:textId="36B431FB" w:rsidR="004A21BB" w:rsidRPr="002513B4" w:rsidRDefault="008576CA" w:rsidP="00305597">
      <w:pPr>
        <w:pStyle w:val="ListBullet"/>
      </w:pPr>
      <w:r w:rsidRPr="002513B4">
        <w:t xml:space="preserve">Vendors conducting mixed mode surveys must administer the survey using the same language in both components (mail and telephone) (e.g., English mail survey must be administered with English telephone follow-up; Spanish mail survey with Spanish telephone follow-up). For this reason, the mixed-mode design cannot be used in conjunction with the Chinese or Armenian versions of the mail questionnaire, because there is no corresponding HHCAHPS-approved telephone interview in these languages. </w:t>
      </w:r>
    </w:p>
    <w:p w14:paraId="4FF2DF88" w14:textId="1D739BF5" w:rsidR="004A21BB" w:rsidRPr="002513B4" w:rsidRDefault="00786FDC" w:rsidP="00305597">
      <w:pPr>
        <w:pStyle w:val="ListBullet"/>
      </w:pPr>
      <w:r w:rsidRPr="002513B4">
        <w:t xml:space="preserve">As noted in </w:t>
      </w:r>
      <w:r w:rsidRPr="002513B4">
        <w:rPr>
          <w:b/>
          <w:bCs/>
          <w:i/>
          <w:iCs/>
        </w:rPr>
        <w:t>Sections 5.3.1.3</w:t>
      </w:r>
      <w:r w:rsidRPr="002513B4">
        <w:t xml:space="preserve"> and </w:t>
      </w:r>
      <w:r w:rsidRPr="002513B4">
        <w:rPr>
          <w:b/>
          <w:bCs/>
          <w:i/>
          <w:iCs/>
        </w:rPr>
        <w:t>6.3.3</w:t>
      </w:r>
      <w:r w:rsidRPr="002513B4">
        <w:t>, AHRQ has developed 10 supplemental questions about home health care that HHAs may wish to use</w:t>
      </w:r>
      <w:r w:rsidR="00FA6979" w:rsidRPr="002513B4">
        <w:t xml:space="preserve">, available on the </w:t>
      </w:r>
      <w:hyperlink r:id="rId105" w:history="1">
        <w:r w:rsidR="00FA6979" w:rsidRPr="002513B4">
          <w:rPr>
            <w:rStyle w:val="Hyperlink"/>
          </w:rPr>
          <w:t>Survey and Protocols web</w:t>
        </w:r>
        <w:r w:rsidR="00DB4C5C" w:rsidRPr="002513B4">
          <w:rPr>
            <w:rStyle w:val="Hyperlink"/>
          </w:rPr>
          <w:t xml:space="preserve"> </w:t>
        </w:r>
        <w:r w:rsidR="00FA6979" w:rsidRPr="002513B4">
          <w:rPr>
            <w:rStyle w:val="Hyperlink"/>
          </w:rPr>
          <w:t>page</w:t>
        </w:r>
      </w:hyperlink>
      <w:r w:rsidR="00FA6979" w:rsidRPr="002513B4">
        <w:t> </w:t>
      </w:r>
      <w:r w:rsidR="00FA6979" w:rsidRPr="002513B4">
        <w:rPr>
          <w:noProof/>
        </w:rPr>
        <w:drawing>
          <wp:inline distT="0" distB="0" distL="0" distR="0" wp14:anchorId="311F8E86" wp14:editId="5BFAE392">
            <wp:extent cx="95250" cy="95250"/>
            <wp:effectExtent l="0" t="0" r="0" b="0"/>
            <wp:docPr id="114180398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A6979" w:rsidRPr="002513B4">
        <w:t xml:space="preserve"> of the HHCAHPS website</w:t>
      </w:r>
      <w:r w:rsidRPr="002513B4">
        <w:t>. As with the mail-only and telephone</w:t>
      </w:r>
      <w:r w:rsidR="001372A1" w:rsidRPr="002513B4">
        <w:t>-</w:t>
      </w:r>
      <w:r w:rsidRPr="002513B4">
        <w:t xml:space="preserve">only modes, HHAs may also add their own agency-specific questions to the HHCAHPS questionnaire provided that they follow the requirements as </w:t>
      </w:r>
      <w:r w:rsidRPr="002513B4">
        <w:lastRenderedPageBreak/>
        <w:t xml:space="preserve">outlined in </w:t>
      </w:r>
      <w:r w:rsidRPr="002513B4">
        <w:rPr>
          <w:b/>
          <w:bCs/>
          <w:i/>
          <w:iCs/>
        </w:rPr>
        <w:t>Chapters 5</w:t>
      </w:r>
      <w:r w:rsidRPr="002513B4">
        <w:t xml:space="preserve"> and </w:t>
      </w:r>
      <w:r w:rsidRPr="002513B4">
        <w:rPr>
          <w:b/>
          <w:bCs/>
          <w:i/>
          <w:iCs/>
        </w:rPr>
        <w:t>6</w:t>
      </w:r>
      <w:r w:rsidRPr="002513B4">
        <w:t xml:space="preserve">. If an HHA using the mixed-mode implementation chooses to add supplemental questions to the standard HHCAHPS survey, they must administer those added questions in both survey modes (mail and telephone). </w:t>
      </w:r>
    </w:p>
    <w:p w14:paraId="3AE6A2B2" w14:textId="6DD30842" w:rsidR="004A21BB" w:rsidRPr="002513B4" w:rsidRDefault="00786FDC" w:rsidP="00305597">
      <w:pPr>
        <w:pStyle w:val="ListBullet"/>
      </w:pPr>
      <w:r w:rsidRPr="002513B4">
        <w:t>CMS strongly recommends that i</w:t>
      </w:r>
      <w:r w:rsidR="003118D1" w:rsidRPr="002513B4">
        <w:t>f</w:t>
      </w:r>
      <w:r w:rsidRPr="002513B4">
        <w:t xml:space="preserve"> a sample member requests to complete the survey over the telephone, that vendors make that option available throughout the entire data collection period, not only during the telephone follow-up phase.  </w:t>
      </w:r>
    </w:p>
    <w:p w14:paraId="1B9577D2" w14:textId="0A0540D9" w:rsidR="004871E4" w:rsidRPr="002513B4" w:rsidRDefault="004A21BB" w:rsidP="00D1145F">
      <w:pPr>
        <w:pStyle w:val="Heading4"/>
        <w:rPr>
          <w:lang w:val="en-US"/>
        </w:rPr>
      </w:pPr>
      <w:r w:rsidRPr="002513B4">
        <w:rPr>
          <w:lang w:val="en-US"/>
        </w:rPr>
        <w:t xml:space="preserve">7.3.2 </w:t>
      </w:r>
      <w:r w:rsidR="00305597" w:rsidRPr="002513B4">
        <w:rPr>
          <w:lang w:val="en-US"/>
        </w:rPr>
        <w:tab/>
      </w:r>
      <w:r w:rsidR="004871E4" w:rsidRPr="002513B4">
        <w:rPr>
          <w:lang w:val="en-US"/>
        </w:rPr>
        <w:t>Sample Management</w:t>
      </w:r>
    </w:p>
    <w:p w14:paraId="3E1BB64B" w14:textId="53F0BE8B" w:rsidR="004871E4" w:rsidRPr="002513B4" w:rsidRDefault="002C0633" w:rsidP="00305597">
      <w:pPr>
        <w:pStyle w:val="ListBullet"/>
      </w:pPr>
      <w:r w:rsidRPr="002513B4">
        <w:t xml:space="preserve">Questionnaires should be logged into the tracking system in a timely manner to ensure that they are taken out of the cases </w:t>
      </w:r>
      <w:r w:rsidR="001372A1" w:rsidRPr="002513B4">
        <w:t>eligible for</w:t>
      </w:r>
      <w:r w:rsidRPr="002513B4">
        <w:t xml:space="preserve"> the telephone follow-up activity.</w:t>
      </w:r>
    </w:p>
    <w:p w14:paraId="71EA4BD3" w14:textId="77777777" w:rsidR="00991D61" w:rsidRPr="002513B4" w:rsidRDefault="002C0633" w:rsidP="00305597">
      <w:pPr>
        <w:pStyle w:val="ListBullet"/>
      </w:pPr>
      <w:r w:rsidRPr="002513B4">
        <w:t xml:space="preserve">Once the telephone follow-up phase begins, vendors are required to update their telephone calling queues to remove cases with a final mail status from additional call attempts.  A final mail status would include a mail survey complete, final refusal, or identification of an ineligible respondent. </w:t>
      </w:r>
    </w:p>
    <w:p w14:paraId="7F890666" w14:textId="0AEE456E" w:rsidR="002C0633" w:rsidRPr="002513B4" w:rsidRDefault="002C0633" w:rsidP="00305597">
      <w:pPr>
        <w:pStyle w:val="ListBullet"/>
      </w:pPr>
      <w:r w:rsidRPr="002513B4">
        <w:t>If a completed questionnaire is received from the sample member after telephone follow-up begins and a telephone interview with that sample member has already been completed, retain the questionnaire or interview with the more complete data. If both surveys are equally complete, the vendor should use the first one received or completed.</w:t>
      </w:r>
    </w:p>
    <w:p w14:paraId="59437551" w14:textId="2052B2A4" w:rsidR="00B36A96" w:rsidRPr="002513B4" w:rsidRDefault="00D1145F" w:rsidP="00D1145F">
      <w:pPr>
        <w:pStyle w:val="Heading4"/>
        <w:rPr>
          <w:lang w:val="en-US"/>
        </w:rPr>
      </w:pPr>
      <w:r w:rsidRPr="002513B4">
        <w:rPr>
          <w:lang w:val="en-US"/>
        </w:rPr>
        <w:t xml:space="preserve">7.3.3 </w:t>
      </w:r>
      <w:r w:rsidR="00305597" w:rsidRPr="002513B4">
        <w:rPr>
          <w:lang w:val="en-US"/>
        </w:rPr>
        <w:tab/>
      </w:r>
      <w:r w:rsidR="00B36A96" w:rsidRPr="002513B4">
        <w:rPr>
          <w:lang w:val="en-US"/>
        </w:rPr>
        <w:t>Case Dispositioning</w:t>
      </w:r>
    </w:p>
    <w:p w14:paraId="15DDE013" w14:textId="6B2DBB86" w:rsidR="00B36A96" w:rsidRPr="002513B4" w:rsidRDefault="002C0633" w:rsidP="00305597">
      <w:pPr>
        <w:pStyle w:val="ListBullet"/>
      </w:pPr>
      <w:r w:rsidRPr="002513B4">
        <w:t>If a completed survey questionnaire is returned and the vendor learns that a sampled patient is deceased and the questionnaire was completed by someone else, it is not acceptable to scan a questionnaire for that patient, even if it was completed by a proxy respondent. If the vendor learns that a sample patient is deceased (via a telephone call from a relative or friend or through a note or comment marked on the completed questionnaire), the vendor should not process (scan) data from the questionnaire but instead assign the applicable final disposition code to the case to indicate that the sample member is deceased.</w:t>
      </w:r>
    </w:p>
    <w:p w14:paraId="2EE47FDF" w14:textId="0A34A5B2" w:rsidR="00EE74F9" w:rsidRPr="002513B4" w:rsidRDefault="002C0633" w:rsidP="00305597">
      <w:pPr>
        <w:pStyle w:val="ListBullet"/>
      </w:pPr>
      <w:r w:rsidRPr="002513B4">
        <w:t xml:space="preserve">A final HHCAHPS Survey status code (see the list in </w:t>
      </w:r>
      <w:r w:rsidRPr="002513B4">
        <w:rPr>
          <w:b/>
          <w:i/>
        </w:rPr>
        <w:t xml:space="preserve">Table 9.1 </w:t>
      </w:r>
      <w:r w:rsidRPr="002513B4">
        <w:t>in</w:t>
      </w:r>
      <w:r w:rsidRPr="002513B4">
        <w:rPr>
          <w:b/>
          <w:i/>
        </w:rPr>
        <w:t xml:space="preserve"> Chapter 9</w:t>
      </w:r>
      <w:r w:rsidRPr="002513B4">
        <w:rPr>
          <w:bCs/>
          <w:iCs/>
        </w:rPr>
        <w:t>)</w:t>
      </w:r>
      <w:r w:rsidRPr="002513B4">
        <w:t xml:space="preserve"> must be assigned to each case. Vendors must consider the full mail and calling history of the record when assigning a final status code. Vendors should not assign the final status code based solely on the final call attempt.</w:t>
      </w:r>
    </w:p>
    <w:p w14:paraId="3F9B70BB" w14:textId="77777777" w:rsidR="007F437C" w:rsidRPr="002513B4" w:rsidRDefault="007F437C" w:rsidP="00305597">
      <w:pPr>
        <w:pStyle w:val="ListBullet"/>
        <w:sectPr w:rsidR="007F437C" w:rsidRPr="002513B4" w:rsidSect="001D5008">
          <w:headerReference w:type="default" r:id="rId106"/>
          <w:headerReference w:type="first" r:id="rId107"/>
          <w:type w:val="continuous"/>
          <w:pgSz w:w="12240" w:h="15840" w:code="1"/>
          <w:pgMar w:top="1440" w:right="1440" w:bottom="1440" w:left="1440" w:header="720" w:footer="720" w:gutter="0"/>
          <w:cols w:space="720"/>
          <w:titlePg/>
          <w:docGrid w:linePitch="272"/>
        </w:sectPr>
      </w:pPr>
      <w:bookmarkStart w:id="261" w:name="_Toc224984439"/>
      <w:bookmarkStart w:id="262" w:name="_Toc343765433"/>
      <w:bookmarkStart w:id="263" w:name="_Toc402776505"/>
    </w:p>
    <w:p w14:paraId="1F060CB2" w14:textId="31B017B3" w:rsidR="00EE74F9" w:rsidRPr="002513B4" w:rsidRDefault="009F27F5" w:rsidP="00EE74F9">
      <w:pPr>
        <w:pStyle w:val="Heading2"/>
        <w:rPr>
          <w:lang w:val="en-US"/>
        </w:rPr>
      </w:pPr>
      <w:bookmarkStart w:id="264" w:name="_Toc217305598"/>
      <w:r w:rsidRPr="002513B4">
        <w:rPr>
          <w:lang w:val="en-US"/>
        </w:rPr>
        <w:lastRenderedPageBreak/>
        <w:t>Chapter</w:t>
      </w:r>
      <w:r w:rsidR="00527C23" w:rsidRPr="002513B4">
        <w:rPr>
          <w:lang w:val="en-US"/>
        </w:rPr>
        <w:t xml:space="preserve"> 8:</w:t>
      </w:r>
      <w:r w:rsidR="00EE74F9" w:rsidRPr="002513B4">
        <w:rPr>
          <w:lang w:val="en-US"/>
        </w:rPr>
        <w:t xml:space="preserve"> Confidentiality and Data Security</w:t>
      </w:r>
      <w:bookmarkEnd w:id="261"/>
      <w:bookmarkEnd w:id="262"/>
      <w:bookmarkEnd w:id="263"/>
      <w:bookmarkEnd w:id="264"/>
    </w:p>
    <w:p w14:paraId="4621C5E1" w14:textId="628CA575" w:rsidR="00EE74F9" w:rsidRPr="002513B4" w:rsidRDefault="00527C23" w:rsidP="00EE74F9">
      <w:pPr>
        <w:pStyle w:val="Heading3"/>
        <w:rPr>
          <w:lang w:val="en-US"/>
        </w:rPr>
      </w:pPr>
      <w:bookmarkStart w:id="265" w:name="_Toc251318169"/>
      <w:bookmarkStart w:id="266" w:name="_Toc407633094"/>
      <w:bookmarkStart w:id="267" w:name="_Toc24713371"/>
      <w:bookmarkStart w:id="268" w:name="_Toc217305599"/>
      <w:r w:rsidRPr="002513B4">
        <w:rPr>
          <w:lang w:val="en-US"/>
        </w:rPr>
        <w:t>8.1</w:t>
      </w:r>
      <w:r w:rsidRPr="002513B4">
        <w:rPr>
          <w:lang w:val="en-US"/>
        </w:rPr>
        <w:tab/>
      </w:r>
      <w:r w:rsidR="00EE74F9" w:rsidRPr="002513B4">
        <w:rPr>
          <w:lang w:val="en-US"/>
        </w:rPr>
        <w:t>Overview</w:t>
      </w:r>
      <w:bookmarkEnd w:id="265"/>
      <w:bookmarkEnd w:id="266"/>
      <w:bookmarkEnd w:id="267"/>
      <w:bookmarkEnd w:id="268"/>
    </w:p>
    <w:p w14:paraId="18B131F1" w14:textId="5CED3E36" w:rsidR="00EE74F9" w:rsidRPr="002513B4" w:rsidRDefault="00DA797B" w:rsidP="00EE74F9">
      <w:pPr>
        <w:pStyle w:val="BodyText"/>
        <w:rPr>
          <w:lang w:val="en-US"/>
        </w:rPr>
      </w:pPr>
      <w:r w:rsidRPr="002513B4">
        <w:rPr>
          <w:lang w:val="en-US"/>
        </w:rPr>
        <w:t>In t</w:t>
      </w:r>
      <w:r w:rsidR="00EE74F9" w:rsidRPr="002513B4">
        <w:rPr>
          <w:lang w:val="en-US"/>
        </w:rPr>
        <w:t>his chapter</w:t>
      </w:r>
      <w:r w:rsidRPr="002513B4">
        <w:rPr>
          <w:lang w:val="en-US"/>
        </w:rPr>
        <w:t xml:space="preserve"> we</w:t>
      </w:r>
      <w:r w:rsidR="00EE74F9" w:rsidRPr="002513B4">
        <w:rPr>
          <w:lang w:val="en-US"/>
        </w:rPr>
        <w:t xml:space="preserve"> describe the requirements and guidelines for protecting the identity of sample members and their survey data and ensuring data security. </w:t>
      </w:r>
      <w:r w:rsidR="002422E4" w:rsidRPr="002513B4">
        <w:rPr>
          <w:lang w:val="en-US"/>
        </w:rPr>
        <w:t xml:space="preserve">We include </w:t>
      </w:r>
      <w:r w:rsidR="00EE74F9" w:rsidRPr="002513B4">
        <w:rPr>
          <w:lang w:val="en-US"/>
        </w:rPr>
        <w:t>a discussion of how confidential data should be handled, the importance of establishing and maintaining physical and electronic data security, the importance of confidentiality agreements, and HHCAHPS protocols for providing and sharing de-identified and identified data.</w:t>
      </w:r>
    </w:p>
    <w:p w14:paraId="60D59EED" w14:textId="2DB2CB00" w:rsidR="00EE74F9" w:rsidRPr="002513B4" w:rsidRDefault="00527C23" w:rsidP="00EE74F9">
      <w:pPr>
        <w:pStyle w:val="Heading3"/>
        <w:rPr>
          <w:lang w:val="en-US"/>
        </w:rPr>
      </w:pPr>
      <w:bookmarkStart w:id="269" w:name="_Toc224984441"/>
      <w:bookmarkStart w:id="270" w:name="_Toc251318170"/>
      <w:bookmarkStart w:id="271" w:name="_Toc407633095"/>
      <w:bookmarkStart w:id="272" w:name="_Toc24713372"/>
      <w:bookmarkStart w:id="273" w:name="_Toc217305600"/>
      <w:r w:rsidRPr="002513B4">
        <w:rPr>
          <w:lang w:val="en-US"/>
        </w:rPr>
        <w:t>8.2</w:t>
      </w:r>
      <w:r w:rsidRPr="002513B4">
        <w:rPr>
          <w:lang w:val="en-US"/>
        </w:rPr>
        <w:tab/>
      </w:r>
      <w:r w:rsidR="00EE74F9" w:rsidRPr="002513B4">
        <w:rPr>
          <w:lang w:val="en-US"/>
        </w:rPr>
        <w:t>Safeguarding Patient Data</w:t>
      </w:r>
      <w:bookmarkEnd w:id="269"/>
      <w:bookmarkEnd w:id="270"/>
      <w:bookmarkEnd w:id="271"/>
      <w:bookmarkEnd w:id="272"/>
      <w:bookmarkEnd w:id="273"/>
    </w:p>
    <w:p w14:paraId="7E3EC2A9" w14:textId="77777777" w:rsidR="00EE74F9" w:rsidRPr="002513B4" w:rsidRDefault="00EE74F9" w:rsidP="00EE74F9">
      <w:pPr>
        <w:pStyle w:val="BodyText"/>
        <w:rPr>
          <w:lang w:val="en-US"/>
        </w:rPr>
      </w:pPr>
      <w:r w:rsidRPr="002513B4">
        <w:rPr>
          <w:lang w:val="en-US"/>
        </w:rPr>
        <w:t>The Health Insurance Portability and Accountability Act of 1996 (HIPAA) is legislation intended to protect private medical information and to improve the efficiency of the health care system. This law went into effect April 14, 2003.</w:t>
      </w:r>
    </w:p>
    <w:p w14:paraId="48BEC20F" w14:textId="3ED9A0C8" w:rsidR="00EE74F9" w:rsidRPr="002513B4" w:rsidRDefault="00EE74F9" w:rsidP="00EE74F9">
      <w:pPr>
        <w:pStyle w:val="BodyText"/>
        <w:rPr>
          <w:lang w:val="en-US"/>
        </w:rPr>
      </w:pPr>
      <w:r w:rsidRPr="002513B4">
        <w:rPr>
          <w:lang w:val="en-US"/>
        </w:rPr>
        <w:t xml:space="preserve">The type of information protected under HIPAA is called “protected health information,” or PHI. PHI is defined as </w:t>
      </w:r>
      <w:r w:rsidR="00745949" w:rsidRPr="002513B4">
        <w:rPr>
          <w:lang w:val="en-US"/>
        </w:rPr>
        <w:t>PII</w:t>
      </w:r>
      <w:r w:rsidRPr="002513B4">
        <w:rPr>
          <w:lang w:val="en-US"/>
        </w:rPr>
        <w:t xml:space="preserve"> that relates to a person’s past, present, or future health or medical treatment. If the health information is completely de-identified, it is no longer PHI and can be released. HIPAA also applies to electronic records, whether they are being stored or transmitted. All vendors approved to implement the HHCAHPS Survey must adhere to all HIPAA requirements. That is, vendors must safeguard </w:t>
      </w:r>
      <w:proofErr w:type="gramStart"/>
      <w:r w:rsidRPr="002513B4">
        <w:rPr>
          <w:lang w:val="en-US"/>
        </w:rPr>
        <w:t>any and all</w:t>
      </w:r>
      <w:proofErr w:type="gramEnd"/>
      <w:r w:rsidRPr="002513B4">
        <w:rPr>
          <w:lang w:val="en-US"/>
        </w:rPr>
        <w:t xml:space="preserve"> data collected from sample members as required by HIPAA. Vendors should</w:t>
      </w:r>
      <w:r w:rsidR="00745949" w:rsidRPr="002513B4">
        <w:rPr>
          <w:lang w:val="en-US"/>
        </w:rPr>
        <w:t>,</w:t>
      </w:r>
      <w:r w:rsidRPr="002513B4">
        <w:rPr>
          <w:lang w:val="en-US"/>
        </w:rPr>
        <w:t xml:space="preserve"> therefore</w:t>
      </w:r>
      <w:r w:rsidR="00745949" w:rsidRPr="002513B4">
        <w:rPr>
          <w:lang w:val="en-US"/>
        </w:rPr>
        <w:t>,</w:t>
      </w:r>
      <w:r w:rsidRPr="002513B4">
        <w:rPr>
          <w:lang w:val="en-US"/>
        </w:rPr>
        <w:t xml:space="preserve"> stress to their HHA clients the importance of sending the monthly patient information files in a manner which adheres to HIPAA guidelines, at a minimum encrypting the patient information files prior to sending them to their vendor.</w:t>
      </w:r>
    </w:p>
    <w:p w14:paraId="59278C3E" w14:textId="77777777" w:rsidR="00EE74F9" w:rsidRPr="002513B4" w:rsidRDefault="00EE74F9" w:rsidP="00EE74F9">
      <w:pPr>
        <w:pStyle w:val="BodyText"/>
        <w:rPr>
          <w:lang w:val="en-US"/>
        </w:rPr>
      </w:pPr>
      <w:r w:rsidRPr="002513B4">
        <w:rPr>
          <w:b/>
          <w:i/>
          <w:lang w:val="en-US"/>
        </w:rPr>
        <w:t>To safeguard patient data, vendors must</w:t>
      </w:r>
      <w:r w:rsidRPr="002513B4">
        <w:rPr>
          <w:b/>
          <w:lang w:val="en-US"/>
        </w:rPr>
        <w:t xml:space="preserve"> </w:t>
      </w:r>
      <w:r w:rsidRPr="002513B4">
        <w:rPr>
          <w:b/>
          <w:i/>
          <w:lang w:val="en-US"/>
        </w:rPr>
        <w:t>adhere to the following requirements</w:t>
      </w:r>
      <w:r w:rsidRPr="002513B4">
        <w:rPr>
          <w:lang w:val="en-US"/>
        </w:rPr>
        <w:t xml:space="preserve"> when conducting the HHCAHPS Survey. Each requirement is discussed in more detail in the paragraphs that follow.</w:t>
      </w:r>
    </w:p>
    <w:p w14:paraId="5D3C1BB6" w14:textId="77777777" w:rsidR="00EE74F9" w:rsidRPr="002513B4" w:rsidRDefault="00EE74F9" w:rsidP="00EE74F9">
      <w:pPr>
        <w:pStyle w:val="ListBullet"/>
      </w:pPr>
      <w:r w:rsidRPr="002513B4">
        <w:t>Adhere to state regulations and laws protecting patients with specific conditions/illnesses</w:t>
      </w:r>
    </w:p>
    <w:p w14:paraId="65FFF240" w14:textId="77777777" w:rsidR="00EE74F9" w:rsidRPr="002513B4" w:rsidRDefault="00EE74F9" w:rsidP="00EE74F9">
      <w:pPr>
        <w:pStyle w:val="ListBullet"/>
      </w:pPr>
      <w:r w:rsidRPr="002513B4">
        <w:t>Limit access to confidential data to authorized staff members</w:t>
      </w:r>
    </w:p>
    <w:p w14:paraId="26FD78FD" w14:textId="77777777" w:rsidR="00EE74F9" w:rsidRPr="002513B4" w:rsidRDefault="00EE74F9" w:rsidP="00EE74F9">
      <w:pPr>
        <w:pStyle w:val="ListBullet"/>
      </w:pPr>
      <w:r w:rsidRPr="002513B4">
        <w:t>Obtain confidentiality agreements</w:t>
      </w:r>
    </w:p>
    <w:p w14:paraId="65173F6D" w14:textId="77777777" w:rsidR="00EE74F9" w:rsidRPr="002513B4" w:rsidRDefault="00EE74F9" w:rsidP="00EE74F9">
      <w:pPr>
        <w:pStyle w:val="ListBullet"/>
      </w:pPr>
      <w:r w:rsidRPr="002513B4">
        <w:t>Ensure security of electronic and physical data</w:t>
      </w:r>
    </w:p>
    <w:p w14:paraId="47E9174F" w14:textId="77777777" w:rsidR="00EE74F9" w:rsidRPr="002513B4" w:rsidRDefault="00EE74F9" w:rsidP="00EE74F9">
      <w:pPr>
        <w:pStyle w:val="ListBullet"/>
      </w:pPr>
      <w:r w:rsidRPr="002513B4">
        <w:t>Develop procedures for identifying and handling breaches of confidential data</w:t>
      </w:r>
    </w:p>
    <w:p w14:paraId="542FFBF4" w14:textId="77777777" w:rsidR="00EE74F9" w:rsidRPr="002513B4" w:rsidRDefault="00EE74F9" w:rsidP="00EE74F9">
      <w:pPr>
        <w:pStyle w:val="ListBullet"/>
      </w:pPr>
      <w:r w:rsidRPr="002513B4">
        <w:t xml:space="preserve">Submit only de-identified </w:t>
      </w:r>
      <w:r w:rsidR="00D818AA" w:rsidRPr="002513B4">
        <w:t xml:space="preserve">XML </w:t>
      </w:r>
      <w:r w:rsidRPr="002513B4">
        <w:t xml:space="preserve">data files to the HHCAHPS </w:t>
      </w:r>
      <w:r w:rsidR="00745949" w:rsidRPr="002513B4">
        <w:t xml:space="preserve">Survey </w:t>
      </w:r>
      <w:r w:rsidRPr="002513B4">
        <w:t>Data Center</w:t>
      </w:r>
    </w:p>
    <w:p w14:paraId="4FE199B4" w14:textId="77777777" w:rsidR="00EE74F9" w:rsidRPr="002513B4" w:rsidRDefault="00EE74F9" w:rsidP="00EE74F9">
      <w:pPr>
        <w:pStyle w:val="ListBullet"/>
      </w:pPr>
      <w:r w:rsidRPr="002513B4">
        <w:t>Provide client HHAs HHCAHPS response data according to HHCAHPS protocols</w:t>
      </w:r>
    </w:p>
    <w:p w14:paraId="1CD274F8" w14:textId="72E2B6C0" w:rsidR="00EE74F9" w:rsidRPr="002513B4" w:rsidRDefault="00527C23" w:rsidP="00EE74F9">
      <w:pPr>
        <w:pStyle w:val="Heading4"/>
        <w:rPr>
          <w:lang w:val="en-US"/>
        </w:rPr>
      </w:pPr>
      <w:r w:rsidRPr="002513B4">
        <w:rPr>
          <w:lang w:val="en-US"/>
        </w:rPr>
        <w:lastRenderedPageBreak/>
        <w:t>8.2.1</w:t>
      </w:r>
      <w:r w:rsidR="00D72669" w:rsidRPr="002513B4">
        <w:rPr>
          <w:lang w:val="en-US"/>
        </w:rPr>
        <w:tab/>
      </w:r>
      <w:r w:rsidR="00EE74F9" w:rsidRPr="002513B4">
        <w:rPr>
          <w:lang w:val="en-US"/>
        </w:rPr>
        <w:t xml:space="preserve">Adhere to State Regulations and Laws Protecting Patients </w:t>
      </w:r>
      <w:r w:rsidR="0038204A" w:rsidRPr="002513B4">
        <w:rPr>
          <w:lang w:val="en-US"/>
        </w:rPr>
        <w:t>with</w:t>
      </w:r>
      <w:r w:rsidR="00EE74F9" w:rsidRPr="002513B4">
        <w:rPr>
          <w:lang w:val="en-US"/>
        </w:rPr>
        <w:t xml:space="preserve"> Specific Conditions/Illnesses</w:t>
      </w:r>
    </w:p>
    <w:p w14:paraId="50DE1B1F" w14:textId="22BCFFC8" w:rsidR="00EE74F9" w:rsidRPr="002513B4" w:rsidRDefault="00EE74F9" w:rsidP="00EE74F9">
      <w:pPr>
        <w:pStyle w:val="BodyText"/>
        <w:rPr>
          <w:lang w:val="en-US"/>
        </w:rPr>
      </w:pPr>
      <w:r w:rsidRPr="002513B4">
        <w:rPr>
          <w:lang w:val="en-US"/>
        </w:rPr>
        <w:t xml:space="preserve">As indicated in </w:t>
      </w:r>
      <w:r w:rsidR="00A96F55" w:rsidRPr="002513B4">
        <w:rPr>
          <w:b/>
          <w:i/>
          <w:lang w:val="en-US"/>
        </w:rPr>
        <w:t>Section 4.3.2</w:t>
      </w:r>
      <w:r w:rsidRPr="002513B4">
        <w:rPr>
          <w:lang w:val="en-US"/>
        </w:rPr>
        <w:t>, some states have additional regulations and laws governing the release of patient information for patients with specific illnesses or conditions, and for other special patient populations, including patients with HIV. It is the HHA’s responsibility to identify any applicable state laws and regulations and exclude patients from the</w:t>
      </w:r>
      <w:r w:rsidR="00745949" w:rsidRPr="002513B4">
        <w:rPr>
          <w:lang w:val="en-US"/>
        </w:rPr>
        <w:t>ir monthly patient information files</w:t>
      </w:r>
      <w:r w:rsidRPr="002513B4">
        <w:rPr>
          <w:lang w:val="en-US"/>
        </w:rPr>
        <w:t xml:space="preserve"> as required by the law or regulation.</w:t>
      </w:r>
    </w:p>
    <w:p w14:paraId="73C3439C" w14:textId="0E5180A0" w:rsidR="00EE74F9" w:rsidRPr="002513B4" w:rsidRDefault="00EC5F74" w:rsidP="00EE74F9">
      <w:pPr>
        <w:pStyle w:val="Heading4"/>
        <w:rPr>
          <w:lang w:val="en-US"/>
        </w:rPr>
      </w:pPr>
      <w:r w:rsidRPr="002513B4">
        <w:rPr>
          <w:lang w:val="en-US"/>
        </w:rPr>
        <w:t>8.2.2</w:t>
      </w:r>
      <w:r w:rsidR="000E0670" w:rsidRPr="002513B4">
        <w:rPr>
          <w:lang w:val="en-US"/>
        </w:rPr>
        <w:tab/>
      </w:r>
      <w:r w:rsidR="00EE74F9" w:rsidRPr="002513B4">
        <w:rPr>
          <w:lang w:val="en-US"/>
        </w:rPr>
        <w:t>Limit Access to Confidential Data to Authorized Staff</w:t>
      </w:r>
    </w:p>
    <w:p w14:paraId="25059F3A" w14:textId="77777777" w:rsidR="00EE74F9" w:rsidRPr="002513B4" w:rsidRDefault="00EE74F9" w:rsidP="00EE74F9">
      <w:pPr>
        <w:pStyle w:val="BodyText"/>
        <w:rPr>
          <w:lang w:val="en-US"/>
        </w:rPr>
      </w:pPr>
      <w:r w:rsidRPr="002513B4">
        <w:rPr>
          <w:lang w:val="en-US"/>
        </w:rPr>
        <w:t xml:space="preserve">All identifying information associated with a patient should be considered private and must be securely protected. Vendors must take appropriate actions to safeguard all survey data obtained </w:t>
      </w:r>
      <w:proofErr w:type="gramStart"/>
      <w:r w:rsidRPr="002513B4">
        <w:rPr>
          <w:lang w:val="en-US"/>
        </w:rPr>
        <w:t>during the course of</w:t>
      </w:r>
      <w:proofErr w:type="gramEnd"/>
      <w:r w:rsidRPr="002513B4">
        <w:rPr>
          <w:lang w:val="en-US"/>
        </w:rPr>
        <w:t xml:space="preserve"> implementing the HHCAHPS Survey, including all hardcopy and electronic data obtained from HHAs and data provided by survey respondents.</w:t>
      </w:r>
    </w:p>
    <w:p w14:paraId="63BA28BE" w14:textId="77777777" w:rsidR="00EE74F9" w:rsidRPr="002513B4" w:rsidRDefault="00EE74F9" w:rsidP="00EE74F9">
      <w:pPr>
        <w:pStyle w:val="BodyText"/>
        <w:rPr>
          <w:lang w:val="en-US"/>
        </w:rPr>
      </w:pPr>
      <w:r w:rsidRPr="002513B4">
        <w:rPr>
          <w:lang w:val="en-US"/>
        </w:rPr>
        <w:t xml:space="preserve">When the sample frame information is received from an HHA, it will contain </w:t>
      </w:r>
      <w:r w:rsidR="00745949" w:rsidRPr="002513B4">
        <w:rPr>
          <w:lang w:val="en-US"/>
        </w:rPr>
        <w:t>PHI and PII</w:t>
      </w:r>
      <w:r w:rsidRPr="002513B4">
        <w:rPr>
          <w:lang w:val="en-US"/>
        </w:rPr>
        <w:t>, such as the name and address or telephone number of the patient, and other information such as diagnoses or reason for the home health care. From the moment the vendor receives sample frame information, the data must be handled in a way to ensure that the patient information is kept confidential and that only authorized personnel have access to it.</w:t>
      </w:r>
    </w:p>
    <w:p w14:paraId="77B9F575" w14:textId="77777777" w:rsidR="00EE74F9" w:rsidRPr="002513B4" w:rsidRDefault="00EE74F9" w:rsidP="00EE74F9">
      <w:pPr>
        <w:pStyle w:val="BodyText"/>
        <w:rPr>
          <w:lang w:val="en-US"/>
        </w:rPr>
      </w:pPr>
      <w:r w:rsidRPr="002513B4">
        <w:rPr>
          <w:lang w:val="en-US"/>
        </w:rPr>
        <w:t>Examples of ways to keep confidential data secure include storing the data electronically in password-protected locations and limiting the number of staff with access to the password. For confidential information that is obtained on hard copy, data should be kept in a locked room or file cabinet, with access restricted to authorized staff. Confidential data should not, under any circumstances, be removed from the survey vendor’s place of business, either in electronic or hardcopy form, even by survey vendor staff. Confidential data should not be stored on laptop computers unless those laptops have data encryption software to protect the information should the laptop be lost or stolen.</w:t>
      </w:r>
    </w:p>
    <w:p w14:paraId="340A940C" w14:textId="77777777" w:rsidR="00EE74F9" w:rsidRPr="002513B4" w:rsidRDefault="00EE74F9" w:rsidP="00EE74F9">
      <w:pPr>
        <w:pStyle w:val="BodyText"/>
        <w:rPr>
          <w:lang w:val="en-US"/>
        </w:rPr>
      </w:pPr>
      <w:r w:rsidRPr="002513B4">
        <w:rPr>
          <w:lang w:val="en-US"/>
        </w:rPr>
        <w:t xml:space="preserve">Survey vendors should consider carefully who needs access to confidential HHCAHPS Survey data and then ensure that only those staff have access to the data. For example, the </w:t>
      </w:r>
      <w:r w:rsidR="00745949" w:rsidRPr="002513B4">
        <w:rPr>
          <w:lang w:val="en-US"/>
        </w:rPr>
        <w:t xml:space="preserve">HHCAHPS </w:t>
      </w:r>
      <w:r w:rsidR="00762889" w:rsidRPr="002513B4">
        <w:rPr>
          <w:lang w:val="en-US"/>
        </w:rPr>
        <w:t>S</w:t>
      </w:r>
      <w:r w:rsidRPr="002513B4">
        <w:rPr>
          <w:lang w:val="en-US"/>
        </w:rPr>
        <w:t xml:space="preserve">ampling </w:t>
      </w:r>
      <w:r w:rsidR="00762889" w:rsidRPr="002513B4">
        <w:rPr>
          <w:lang w:val="en-US"/>
        </w:rPr>
        <w:t>M</w:t>
      </w:r>
      <w:r w:rsidRPr="002513B4">
        <w:rPr>
          <w:lang w:val="en-US"/>
        </w:rPr>
        <w:t xml:space="preserve">anager will need access to the agency sample frame to select the sample. However, information on the frame does not need to be included in every data file—although names and addresses need to be provided in the file used to create </w:t>
      </w:r>
      <w:r w:rsidR="00745949" w:rsidRPr="002513B4">
        <w:rPr>
          <w:lang w:val="en-US"/>
        </w:rPr>
        <w:t xml:space="preserve">mail survey </w:t>
      </w:r>
      <w:r w:rsidRPr="002513B4">
        <w:rPr>
          <w:lang w:val="en-US"/>
        </w:rPr>
        <w:t>cover letters, other PHI does not have to be on that file.</w:t>
      </w:r>
    </w:p>
    <w:p w14:paraId="14DE64A8" w14:textId="77777777" w:rsidR="00EE74F9" w:rsidRPr="002513B4" w:rsidRDefault="00EE74F9" w:rsidP="00EE74F9">
      <w:pPr>
        <w:pStyle w:val="BodyText"/>
        <w:rPr>
          <w:lang w:val="en-US"/>
        </w:rPr>
      </w:pPr>
      <w:r w:rsidRPr="002513B4">
        <w:rPr>
          <w:lang w:val="en-US"/>
        </w:rPr>
        <w:t>Any staff who will be working with data about home health patients should sign a confidentiality agreement specific to the HHCAHPS Survey implementation, as described below.</w:t>
      </w:r>
    </w:p>
    <w:p w14:paraId="32C841C5" w14:textId="01C22B3B" w:rsidR="00EE74F9" w:rsidRPr="002513B4" w:rsidRDefault="00EC5F74" w:rsidP="00EE74F9">
      <w:pPr>
        <w:pStyle w:val="Heading3"/>
        <w:rPr>
          <w:lang w:val="en-US"/>
        </w:rPr>
      </w:pPr>
      <w:bookmarkStart w:id="274" w:name="_Toc24713373"/>
      <w:bookmarkStart w:id="275" w:name="_Toc217305601"/>
      <w:r w:rsidRPr="002513B4">
        <w:rPr>
          <w:lang w:val="en-US"/>
        </w:rPr>
        <w:lastRenderedPageBreak/>
        <w:t>8.3</w:t>
      </w:r>
      <w:r w:rsidRPr="002513B4">
        <w:rPr>
          <w:lang w:val="en-US"/>
        </w:rPr>
        <w:tab/>
      </w:r>
      <w:r w:rsidR="00EE74F9" w:rsidRPr="002513B4">
        <w:rPr>
          <w:lang w:val="en-US"/>
        </w:rPr>
        <w:t>Obtain Confidentiality Agreements</w:t>
      </w:r>
      <w:bookmarkEnd w:id="274"/>
      <w:bookmarkEnd w:id="275"/>
    </w:p>
    <w:p w14:paraId="478FFA02" w14:textId="77777777" w:rsidR="00EE74F9" w:rsidRPr="002513B4" w:rsidRDefault="00EE74F9" w:rsidP="00EE74F9">
      <w:pPr>
        <w:pStyle w:val="BodyText"/>
        <w:rPr>
          <w:lang w:val="en-US"/>
        </w:rPr>
      </w:pPr>
      <w:r w:rsidRPr="002513B4">
        <w:rPr>
          <w:lang w:val="en-US"/>
        </w:rPr>
        <w:t xml:space="preserve">Survey vendors are required to obtain a signed affidavit of confidentiality from all staff, including subcontractors, who will work on the HHCAHPS Survey implementation. This includes individuals who will be working as telephone interviewers or staffing the customer support line and individuals </w:t>
      </w:r>
      <w:r w:rsidR="00B0696B" w:rsidRPr="002513B4">
        <w:rPr>
          <w:lang w:val="en-US"/>
        </w:rPr>
        <w:t xml:space="preserve">printing or assembling mail survey packets or </w:t>
      </w:r>
      <w:r w:rsidRPr="002513B4">
        <w:rPr>
          <w:lang w:val="en-US"/>
        </w:rPr>
        <w:t xml:space="preserve">working in data receipt or data entry positions. Copies of the signed agreements should be retained by the </w:t>
      </w:r>
      <w:r w:rsidR="00B0696B" w:rsidRPr="002513B4">
        <w:rPr>
          <w:lang w:val="en-US"/>
        </w:rPr>
        <w:t xml:space="preserve">HHCAHPS </w:t>
      </w:r>
      <w:r w:rsidR="00E73711" w:rsidRPr="002513B4">
        <w:rPr>
          <w:lang w:val="en-US"/>
        </w:rPr>
        <w:t>Survey Administrator/</w:t>
      </w:r>
      <w:r w:rsidR="00762889" w:rsidRPr="002513B4">
        <w:rPr>
          <w:lang w:val="en-US"/>
        </w:rPr>
        <w:t>P</w:t>
      </w:r>
      <w:r w:rsidRPr="002513B4">
        <w:rPr>
          <w:lang w:val="en-US"/>
        </w:rPr>
        <w:t xml:space="preserve">roject </w:t>
      </w:r>
      <w:r w:rsidR="00762889" w:rsidRPr="002513B4">
        <w:rPr>
          <w:lang w:val="en-US"/>
        </w:rPr>
        <w:t>M</w:t>
      </w:r>
      <w:r w:rsidRPr="002513B4">
        <w:rPr>
          <w:lang w:val="en-US"/>
        </w:rPr>
        <w:t>anager as documentation of compliance with this requirement, because vendors will be asked to provide this documentation during site visits by the HHCAHPS Survey Coordination Team.</w:t>
      </w:r>
    </w:p>
    <w:p w14:paraId="7976F797" w14:textId="3E0698EA" w:rsidR="00EE74F9" w:rsidRPr="002513B4" w:rsidRDefault="00EC5F74" w:rsidP="00EE74F9">
      <w:pPr>
        <w:pStyle w:val="Heading3"/>
        <w:rPr>
          <w:lang w:val="en-US"/>
        </w:rPr>
      </w:pPr>
      <w:bookmarkStart w:id="276" w:name="_Toc24713374"/>
      <w:bookmarkStart w:id="277" w:name="_Toc217305602"/>
      <w:r w:rsidRPr="002513B4">
        <w:rPr>
          <w:lang w:val="en-US"/>
        </w:rPr>
        <w:t>8.4</w:t>
      </w:r>
      <w:r w:rsidRPr="002513B4">
        <w:rPr>
          <w:lang w:val="en-US"/>
        </w:rPr>
        <w:tab/>
      </w:r>
      <w:r w:rsidR="00EE74F9" w:rsidRPr="002513B4">
        <w:rPr>
          <w:lang w:val="en-US"/>
        </w:rPr>
        <w:t>Ensure Electronic and Physical Data Security</w:t>
      </w:r>
      <w:bookmarkEnd w:id="276"/>
      <w:bookmarkEnd w:id="277"/>
    </w:p>
    <w:p w14:paraId="64054607" w14:textId="77777777" w:rsidR="00EE74F9" w:rsidRPr="002513B4" w:rsidRDefault="00EE74F9" w:rsidP="00EE74F9">
      <w:pPr>
        <w:pStyle w:val="BodyText"/>
        <w:keepNext/>
        <w:rPr>
          <w:lang w:val="en-US"/>
        </w:rPr>
      </w:pPr>
      <w:r w:rsidRPr="002513B4">
        <w:rPr>
          <w:lang w:val="en-US"/>
        </w:rPr>
        <w:t>Vendors should take the following measures to ensure physical and electronic data security:</w:t>
      </w:r>
    </w:p>
    <w:p w14:paraId="395C6338" w14:textId="77777777" w:rsidR="00EE74F9" w:rsidRPr="002513B4" w:rsidRDefault="00EE74F9" w:rsidP="00EE74F9">
      <w:pPr>
        <w:pStyle w:val="ListBullet"/>
        <w:rPr>
          <w:b/>
          <w:i/>
        </w:rPr>
      </w:pPr>
      <w:r w:rsidRPr="002513B4">
        <w:t xml:space="preserve">Paper copies of questionnaires or sample frame information must be stored in a secure location at the vendor’s facility, such as a locked file cabinet or within a locked room, for 3 years. Paper copies of questionnaires do not need to be kept if electronic images of the questionnaires are being kept instead. </w:t>
      </w:r>
      <w:r w:rsidRPr="002513B4">
        <w:rPr>
          <w:b/>
          <w:i/>
        </w:rPr>
        <w:t>At no time should paper copies be removed from the vendor’s premises, even temporarily.</w:t>
      </w:r>
    </w:p>
    <w:p w14:paraId="28572BAB" w14:textId="77777777" w:rsidR="00EE74F9" w:rsidRPr="002513B4" w:rsidRDefault="00EE74F9" w:rsidP="00EE74F9">
      <w:pPr>
        <w:pStyle w:val="ListBullet"/>
      </w:pPr>
      <w:r w:rsidRPr="002513B4">
        <w:t>Electronic data must be protected. Electronic security measures may include firewalls, restricted access levels, or password-protected access.</w:t>
      </w:r>
    </w:p>
    <w:p w14:paraId="33330E2C" w14:textId="77777777" w:rsidR="00EE74F9" w:rsidRPr="002513B4" w:rsidRDefault="00EE74F9" w:rsidP="00EE74F9">
      <w:pPr>
        <w:pStyle w:val="ListBullet"/>
      </w:pPr>
      <w:r w:rsidRPr="002513B4">
        <w:t>Data stored electronically must be backed up nightly or more frequently to minimize data loss. Vendors must have a disaster recovery plan for the HHCAHPS data.</w:t>
      </w:r>
    </w:p>
    <w:p w14:paraId="48B379A9" w14:textId="77777777" w:rsidR="00EE74F9" w:rsidRPr="002513B4" w:rsidRDefault="00EE74F9" w:rsidP="00EE74F9">
      <w:pPr>
        <w:pStyle w:val="ListBullet"/>
      </w:pPr>
      <w:r w:rsidRPr="002513B4">
        <w:t>Electronic images of paper questionnaires or keyed data, including computer-assisted telephone interview</w:t>
      </w:r>
      <w:r w:rsidR="00762889" w:rsidRPr="002513B4">
        <w:t xml:space="preserve"> (CATI)</w:t>
      </w:r>
      <w:r w:rsidRPr="002513B4">
        <w:t xml:space="preserve"> or alternative electronic system data, should be retained for 3 years, also in a secure location at the vendor’s facility.</w:t>
      </w:r>
    </w:p>
    <w:p w14:paraId="284F33C5" w14:textId="48D24451" w:rsidR="00EE74F9" w:rsidRPr="002513B4" w:rsidRDefault="00EC5F74" w:rsidP="00EE74F9">
      <w:pPr>
        <w:pStyle w:val="Heading4"/>
        <w:rPr>
          <w:lang w:val="en-US"/>
        </w:rPr>
      </w:pPr>
      <w:r w:rsidRPr="002513B4">
        <w:rPr>
          <w:lang w:val="en-US"/>
        </w:rPr>
        <w:t xml:space="preserve">8.4.1 </w:t>
      </w:r>
      <w:r w:rsidR="000E0670" w:rsidRPr="002513B4">
        <w:rPr>
          <w:lang w:val="en-US"/>
        </w:rPr>
        <w:tab/>
      </w:r>
      <w:r w:rsidR="00EE74F9" w:rsidRPr="002513B4">
        <w:rPr>
          <w:lang w:val="en-US"/>
        </w:rPr>
        <w:t>Develop Procedures for Identifying and Handling Breaches of Confidential Data</w:t>
      </w:r>
    </w:p>
    <w:p w14:paraId="0181CB36" w14:textId="77777777" w:rsidR="00EE74F9" w:rsidRPr="002513B4" w:rsidRDefault="00EE74F9" w:rsidP="00EE74F9">
      <w:pPr>
        <w:pStyle w:val="BodyText"/>
        <w:rPr>
          <w:lang w:val="en-US"/>
        </w:rPr>
      </w:pPr>
      <w:r w:rsidRPr="002513B4">
        <w:rPr>
          <w:lang w:val="en-US"/>
        </w:rPr>
        <w:t xml:space="preserve">Survey vendors are required to develop protocols for identifying when there has been a breach of security with HHCAHPS Survey data, including when an unauthorized individual has gained access to confidential information and when an authorized individual has distributed confidential data in an unauthorized manner. Vendors must have a security incident response program in place to ensure that the appropriate actions are taken to contain identified security incidents, communicate to stakeholders, and remediate the incident. The vendor’s plans must include, but are not limited to, a system to notify the vendor’s HHCAHPS </w:t>
      </w:r>
      <w:r w:rsidR="00E73711" w:rsidRPr="002513B4">
        <w:rPr>
          <w:lang w:val="en-US"/>
        </w:rPr>
        <w:t>Survey Administrator/</w:t>
      </w:r>
      <w:r w:rsidRPr="002513B4">
        <w:rPr>
          <w:lang w:val="en-US"/>
        </w:rPr>
        <w:t>Project Manager in a timely manner of a security breach, a means to detect the level of risk represented by the breach in security, and a means to take corrective action against the individual who created the breach and any persons affected by the breach, including sample members.</w:t>
      </w:r>
    </w:p>
    <w:p w14:paraId="6B5D8465" w14:textId="551671A1" w:rsidR="00EE74F9" w:rsidRPr="002513B4" w:rsidRDefault="00EC5F74" w:rsidP="00EE74F9">
      <w:pPr>
        <w:pStyle w:val="Heading4"/>
        <w:rPr>
          <w:lang w:val="en-US"/>
        </w:rPr>
      </w:pPr>
      <w:r w:rsidRPr="002513B4">
        <w:rPr>
          <w:lang w:val="en-US"/>
        </w:rPr>
        <w:lastRenderedPageBreak/>
        <w:t>8.4.2</w:t>
      </w:r>
      <w:r w:rsidR="00E60475" w:rsidRPr="002513B4">
        <w:rPr>
          <w:lang w:val="en-US"/>
        </w:rPr>
        <w:tab/>
      </w:r>
      <w:r w:rsidR="00EE74F9" w:rsidRPr="002513B4">
        <w:rPr>
          <w:lang w:val="en-US"/>
        </w:rPr>
        <w:t>Submit Only De-</w:t>
      </w:r>
      <w:r w:rsidR="0008573F" w:rsidRPr="002513B4">
        <w:rPr>
          <w:lang w:val="en-US"/>
        </w:rPr>
        <w:t>I</w:t>
      </w:r>
      <w:r w:rsidR="00EE74F9" w:rsidRPr="002513B4">
        <w:rPr>
          <w:lang w:val="en-US"/>
        </w:rPr>
        <w:t xml:space="preserve">dentified </w:t>
      </w:r>
      <w:r w:rsidR="00D818AA" w:rsidRPr="002513B4">
        <w:rPr>
          <w:lang w:val="en-US"/>
        </w:rPr>
        <w:t xml:space="preserve">XML </w:t>
      </w:r>
      <w:r w:rsidR="00EE74F9" w:rsidRPr="002513B4">
        <w:rPr>
          <w:lang w:val="en-US"/>
        </w:rPr>
        <w:t>Data Files to the HHCAHPS Survey Data Center</w:t>
      </w:r>
    </w:p>
    <w:p w14:paraId="7DAD1638" w14:textId="03EF0220" w:rsidR="00EE74F9" w:rsidRPr="002513B4" w:rsidRDefault="00EE74F9" w:rsidP="00EE74F9">
      <w:pPr>
        <w:pStyle w:val="BodyText"/>
        <w:rPr>
          <w:lang w:val="en-US"/>
        </w:rPr>
      </w:pPr>
      <w:r w:rsidRPr="002513B4">
        <w:rPr>
          <w:lang w:val="en-US"/>
        </w:rPr>
        <w:t xml:space="preserve">Although vendors will have access to confidential information about home health patients, none of the </w:t>
      </w:r>
      <w:r w:rsidR="00D818AA" w:rsidRPr="002513B4">
        <w:rPr>
          <w:lang w:val="en-US"/>
        </w:rPr>
        <w:t xml:space="preserve">XML </w:t>
      </w:r>
      <w:r w:rsidRPr="002513B4">
        <w:rPr>
          <w:lang w:val="en-US"/>
        </w:rPr>
        <w:t xml:space="preserve">data files submitted to the HHCAHPS Survey Data Center may contain any confidential information (i.e., any information that would identify a sample member). All files submitted to the Data Center must contain de-identified data only. Therefore, only the unique patient </w:t>
      </w:r>
      <w:r w:rsidR="00114F1D" w:rsidRPr="002513B4">
        <w:rPr>
          <w:lang w:val="en-US"/>
        </w:rPr>
        <w:t xml:space="preserve">SID </w:t>
      </w:r>
      <w:r w:rsidRPr="002513B4">
        <w:rPr>
          <w:lang w:val="en-US"/>
        </w:rPr>
        <w:t>number</w:t>
      </w:r>
      <w:r w:rsidR="00114F1D" w:rsidRPr="002513B4">
        <w:rPr>
          <w:lang w:val="en-US"/>
        </w:rPr>
        <w:t>s</w:t>
      </w:r>
      <w:r w:rsidRPr="002513B4">
        <w:rPr>
          <w:lang w:val="en-US"/>
        </w:rPr>
        <w:t xml:space="preserve"> that the survey vendor assigns to each sample member should be included on the file for each data record. (There </w:t>
      </w:r>
      <w:r w:rsidR="004C6E07" w:rsidRPr="002513B4">
        <w:rPr>
          <w:lang w:val="en-US"/>
        </w:rPr>
        <w:t xml:space="preserve">must </w:t>
      </w:r>
      <w:r w:rsidRPr="002513B4">
        <w:rPr>
          <w:lang w:val="en-US"/>
        </w:rPr>
        <w:t>be a data record for each patient sampled.)</w:t>
      </w:r>
    </w:p>
    <w:p w14:paraId="743A4D90" w14:textId="29C8B2BF" w:rsidR="00EE74F9" w:rsidRPr="002513B4" w:rsidRDefault="00EC5F74" w:rsidP="00EE74F9">
      <w:pPr>
        <w:pStyle w:val="Heading3"/>
        <w:rPr>
          <w:lang w:val="en-US"/>
        </w:rPr>
      </w:pPr>
      <w:bookmarkStart w:id="278" w:name="_Toc217305603"/>
      <w:r w:rsidRPr="002513B4">
        <w:rPr>
          <w:lang w:val="en-US"/>
        </w:rPr>
        <w:t>8.5</w:t>
      </w:r>
      <w:r w:rsidRPr="002513B4">
        <w:rPr>
          <w:lang w:val="en-US"/>
        </w:rPr>
        <w:tab/>
      </w:r>
      <w:r w:rsidR="00EE74F9" w:rsidRPr="002513B4">
        <w:rPr>
          <w:lang w:val="en-US"/>
        </w:rPr>
        <w:t>Provide HHCAHPS Response Data to Client HHAs</w:t>
      </w:r>
      <w:bookmarkEnd w:id="278"/>
      <w:r w:rsidR="00EE74F9" w:rsidRPr="002513B4">
        <w:rPr>
          <w:lang w:val="en-US"/>
        </w:rPr>
        <w:t xml:space="preserve"> </w:t>
      </w:r>
    </w:p>
    <w:p w14:paraId="7BBE8AD0" w14:textId="77777777" w:rsidR="00F21322" w:rsidRPr="002513B4" w:rsidRDefault="00F21322" w:rsidP="00EE74F9">
      <w:pPr>
        <w:pStyle w:val="BodyText"/>
        <w:rPr>
          <w:lang w:val="en-US"/>
        </w:rPr>
      </w:pPr>
      <w:r w:rsidRPr="002513B4">
        <w:rPr>
          <w:lang w:val="en-US"/>
        </w:rPr>
        <w:t>When providing response data to their client agencies, survey vendors must provide data that are de-identified. Survey vendors must be aware of the following requirements and exceptions.</w:t>
      </w:r>
    </w:p>
    <w:p w14:paraId="57E0575B" w14:textId="23EF3058" w:rsidR="00F21322" w:rsidRPr="002513B4" w:rsidRDefault="003B2F66" w:rsidP="003B2F66">
      <w:pPr>
        <w:pStyle w:val="Heading4"/>
        <w:rPr>
          <w:lang w:val="en-US"/>
        </w:rPr>
      </w:pPr>
      <w:r w:rsidRPr="002513B4">
        <w:rPr>
          <w:lang w:val="en-US"/>
        </w:rPr>
        <w:t>8.5.1</w:t>
      </w:r>
      <w:r w:rsidR="00E60475" w:rsidRPr="002513B4">
        <w:rPr>
          <w:lang w:val="en-US"/>
        </w:rPr>
        <w:tab/>
      </w:r>
      <w:r w:rsidR="00F21322" w:rsidRPr="002513B4">
        <w:rPr>
          <w:lang w:val="en-US"/>
        </w:rPr>
        <w:t>"Core" Questions (Questions 1-</w:t>
      </w:r>
      <w:r w:rsidR="004A0A11" w:rsidRPr="002513B4">
        <w:rPr>
          <w:lang w:val="en-US"/>
        </w:rPr>
        <w:t>17</w:t>
      </w:r>
      <w:r w:rsidR="00F21322" w:rsidRPr="002513B4">
        <w:rPr>
          <w:lang w:val="en-US"/>
        </w:rPr>
        <w:t xml:space="preserve">) </w:t>
      </w:r>
    </w:p>
    <w:p w14:paraId="54841965" w14:textId="5F9093B6" w:rsidR="00EE74F9" w:rsidRPr="002513B4" w:rsidRDefault="00114F1D" w:rsidP="00EE74F9">
      <w:pPr>
        <w:pStyle w:val="BodyText"/>
        <w:rPr>
          <w:lang w:val="en-US"/>
        </w:rPr>
      </w:pPr>
      <w:r w:rsidRPr="002513B4">
        <w:rPr>
          <w:lang w:val="en-US"/>
        </w:rPr>
        <w:t>V</w:t>
      </w:r>
      <w:r w:rsidR="00EE74F9" w:rsidRPr="002513B4">
        <w:rPr>
          <w:lang w:val="en-US"/>
        </w:rPr>
        <w:t xml:space="preserve">endors are permitted to provide de-identified responses to the </w:t>
      </w:r>
      <w:r w:rsidR="002F412C" w:rsidRPr="002513B4">
        <w:rPr>
          <w:lang w:val="en-US"/>
        </w:rPr>
        <w:t>“</w:t>
      </w:r>
      <w:r w:rsidR="00EE74F9" w:rsidRPr="002513B4">
        <w:rPr>
          <w:lang w:val="en-US"/>
        </w:rPr>
        <w:t>core</w:t>
      </w:r>
      <w:r w:rsidR="002F412C" w:rsidRPr="002513B4">
        <w:rPr>
          <w:lang w:val="en-US"/>
        </w:rPr>
        <w:t>”</w:t>
      </w:r>
      <w:r w:rsidR="00EE74F9" w:rsidRPr="002513B4">
        <w:rPr>
          <w:lang w:val="en-US"/>
        </w:rPr>
        <w:t xml:space="preserve"> HHCAHPS questions (Questions 1–</w:t>
      </w:r>
      <w:r w:rsidR="004A0A11" w:rsidRPr="002513B4">
        <w:rPr>
          <w:lang w:val="en-US"/>
        </w:rPr>
        <w:t>17</w:t>
      </w:r>
      <w:r w:rsidR="00EE74F9" w:rsidRPr="002513B4">
        <w:rPr>
          <w:lang w:val="en-US"/>
        </w:rPr>
        <w:t>) without the patient’s consent to share his or her survey responses</w:t>
      </w:r>
      <w:r w:rsidRPr="002513B4">
        <w:rPr>
          <w:lang w:val="en-US"/>
        </w:rPr>
        <w:t>.</w:t>
      </w:r>
      <w:r w:rsidR="00EE74F9" w:rsidRPr="002513B4">
        <w:rPr>
          <w:lang w:val="en-US"/>
        </w:rPr>
        <w:t xml:space="preserve"> </w:t>
      </w:r>
    </w:p>
    <w:p w14:paraId="6ACF21A3" w14:textId="6C0BE4B3" w:rsidR="00EE74F9" w:rsidRPr="002513B4" w:rsidRDefault="003B2F66" w:rsidP="003B2F66">
      <w:pPr>
        <w:pStyle w:val="Heading4"/>
        <w:rPr>
          <w:lang w:val="en-US"/>
        </w:rPr>
      </w:pPr>
      <w:r w:rsidRPr="002513B4">
        <w:rPr>
          <w:lang w:val="en-US"/>
        </w:rPr>
        <w:t>8.5.2</w:t>
      </w:r>
      <w:r w:rsidR="00E60475" w:rsidRPr="002513B4">
        <w:rPr>
          <w:lang w:val="en-US"/>
        </w:rPr>
        <w:tab/>
      </w:r>
      <w:r w:rsidR="00EE74F9" w:rsidRPr="002513B4">
        <w:rPr>
          <w:lang w:val="en-US"/>
        </w:rPr>
        <w:t xml:space="preserve">"About You" Questions (Questions </w:t>
      </w:r>
      <w:r w:rsidR="004A0A11" w:rsidRPr="002513B4">
        <w:rPr>
          <w:lang w:val="en-US"/>
        </w:rPr>
        <w:t>18</w:t>
      </w:r>
      <w:r w:rsidR="00EE74F9" w:rsidRPr="002513B4">
        <w:rPr>
          <w:lang w:val="en-US"/>
        </w:rPr>
        <w:t>-</w:t>
      </w:r>
      <w:r w:rsidR="004A0A11" w:rsidRPr="002513B4">
        <w:rPr>
          <w:lang w:val="en-US"/>
        </w:rPr>
        <w:t>25</w:t>
      </w:r>
      <w:r w:rsidR="00EE74F9" w:rsidRPr="002513B4">
        <w:rPr>
          <w:lang w:val="en-US"/>
        </w:rPr>
        <w:t xml:space="preserve">) </w:t>
      </w:r>
    </w:p>
    <w:p w14:paraId="274A6446" w14:textId="55FBCBA8" w:rsidR="00EE74F9" w:rsidRPr="002513B4" w:rsidRDefault="00EE74F9" w:rsidP="00EE74F9">
      <w:pPr>
        <w:pStyle w:val="BodyText"/>
        <w:rPr>
          <w:lang w:val="en-US"/>
        </w:rPr>
      </w:pPr>
      <w:r w:rsidRPr="002513B4">
        <w:rPr>
          <w:lang w:val="en-US"/>
        </w:rPr>
        <w:t xml:space="preserve">Vendors can provide responses to </w:t>
      </w:r>
      <w:r w:rsidR="002F412C" w:rsidRPr="002513B4">
        <w:rPr>
          <w:lang w:val="en-US"/>
        </w:rPr>
        <w:t>“</w:t>
      </w:r>
      <w:r w:rsidRPr="002513B4">
        <w:rPr>
          <w:lang w:val="en-US"/>
        </w:rPr>
        <w:t>About You</w:t>
      </w:r>
      <w:r w:rsidR="002F412C" w:rsidRPr="002513B4">
        <w:rPr>
          <w:lang w:val="en-US"/>
        </w:rPr>
        <w:t>”</w:t>
      </w:r>
      <w:r w:rsidRPr="002513B4">
        <w:rPr>
          <w:lang w:val="en-US"/>
        </w:rPr>
        <w:t xml:space="preserve"> questions (Questions </w:t>
      </w:r>
      <w:r w:rsidR="004A0A11" w:rsidRPr="002513B4">
        <w:rPr>
          <w:lang w:val="en-US"/>
        </w:rPr>
        <w:t>18</w:t>
      </w:r>
      <w:r w:rsidRPr="002513B4">
        <w:rPr>
          <w:lang w:val="en-US"/>
        </w:rPr>
        <w:t>–</w:t>
      </w:r>
      <w:r w:rsidR="004A0A11" w:rsidRPr="002513B4">
        <w:rPr>
          <w:lang w:val="en-US"/>
        </w:rPr>
        <w:t>25</w:t>
      </w:r>
      <w:r w:rsidRPr="002513B4">
        <w:rPr>
          <w:lang w:val="en-US"/>
        </w:rPr>
        <w:t xml:space="preserve">) linked to a sample patient’s name and other identifying information </w:t>
      </w:r>
      <w:r w:rsidRPr="002513B4">
        <w:rPr>
          <w:b/>
          <w:bCs/>
          <w:lang w:val="en-US"/>
        </w:rPr>
        <w:t>only if</w:t>
      </w:r>
      <w:r w:rsidRPr="002513B4">
        <w:rPr>
          <w:lang w:val="en-US"/>
        </w:rPr>
        <w:t xml:space="preserve"> the sample patient gives his or her consent on the Consent to Share </w:t>
      </w:r>
      <w:r w:rsidR="00114F1D" w:rsidRPr="002513B4">
        <w:rPr>
          <w:lang w:val="en-US"/>
        </w:rPr>
        <w:t>Responses</w:t>
      </w:r>
      <w:r w:rsidRPr="002513B4">
        <w:rPr>
          <w:lang w:val="en-US"/>
        </w:rPr>
        <w:t xml:space="preserve"> question. </w:t>
      </w:r>
    </w:p>
    <w:p w14:paraId="6BF5A738" w14:textId="7C81AA81" w:rsidR="00EE74F9" w:rsidRPr="002513B4" w:rsidRDefault="00EE74F9" w:rsidP="00EE74F9">
      <w:pPr>
        <w:pStyle w:val="BodyText"/>
        <w:rPr>
          <w:lang w:val="en-US"/>
        </w:rPr>
      </w:pPr>
      <w:r w:rsidRPr="002513B4">
        <w:rPr>
          <w:lang w:val="en-US"/>
        </w:rPr>
        <w:t xml:space="preserve">Since responses to Questions </w:t>
      </w:r>
      <w:r w:rsidR="004A0A11" w:rsidRPr="002513B4">
        <w:rPr>
          <w:lang w:val="en-US"/>
        </w:rPr>
        <w:t>18</w:t>
      </w:r>
      <w:r w:rsidRPr="002513B4">
        <w:rPr>
          <w:lang w:val="en-US"/>
        </w:rPr>
        <w:t>-</w:t>
      </w:r>
      <w:r w:rsidR="004A0A11" w:rsidRPr="002513B4">
        <w:rPr>
          <w:lang w:val="en-US"/>
        </w:rPr>
        <w:t>25</w:t>
      </w:r>
      <w:r w:rsidRPr="002513B4">
        <w:rPr>
          <w:lang w:val="en-US"/>
        </w:rPr>
        <w:t xml:space="preserve"> may enable HHAs with small sample sizes to link survey responses to a specific patient, vendors may provide de-identified survey responses to the </w:t>
      </w:r>
      <w:r w:rsidR="002F412C" w:rsidRPr="002513B4">
        <w:rPr>
          <w:lang w:val="en-US"/>
        </w:rPr>
        <w:t>“</w:t>
      </w:r>
      <w:r w:rsidRPr="002513B4">
        <w:rPr>
          <w:lang w:val="en-US"/>
        </w:rPr>
        <w:t>About You</w:t>
      </w:r>
      <w:r w:rsidR="002F412C" w:rsidRPr="002513B4">
        <w:rPr>
          <w:lang w:val="en-US"/>
        </w:rPr>
        <w:t>”</w:t>
      </w:r>
      <w:r w:rsidRPr="002513B4">
        <w:rPr>
          <w:lang w:val="en-US"/>
        </w:rPr>
        <w:t xml:space="preserve"> questions only by following one of the two methods described below. </w:t>
      </w:r>
    </w:p>
    <w:p w14:paraId="4A1D0EB9" w14:textId="2CF7D256" w:rsidR="00EE74F9" w:rsidRPr="002513B4" w:rsidRDefault="00EE74F9" w:rsidP="00EE74F9">
      <w:pPr>
        <w:pStyle w:val="BodyText"/>
        <w:rPr>
          <w:lang w:val="en-US"/>
        </w:rPr>
      </w:pPr>
      <w:r w:rsidRPr="002513B4">
        <w:rPr>
          <w:lang w:val="en-US"/>
        </w:rPr>
        <w:t xml:space="preserve">The first method permits vendors to share responses to the </w:t>
      </w:r>
      <w:r w:rsidR="002F412C" w:rsidRPr="002513B4">
        <w:rPr>
          <w:lang w:val="en-US"/>
        </w:rPr>
        <w:t>“</w:t>
      </w:r>
      <w:r w:rsidRPr="002513B4">
        <w:rPr>
          <w:lang w:val="en-US"/>
        </w:rPr>
        <w:t>About You</w:t>
      </w:r>
      <w:r w:rsidR="002F412C" w:rsidRPr="002513B4">
        <w:rPr>
          <w:lang w:val="en-US"/>
        </w:rPr>
        <w:t>”</w:t>
      </w:r>
      <w:r w:rsidRPr="002513B4">
        <w:rPr>
          <w:lang w:val="en-US"/>
        </w:rPr>
        <w:t xml:space="preserve"> questions if there are a minimum of 11 patients who have responded to </w:t>
      </w:r>
      <w:r w:rsidRPr="002513B4">
        <w:rPr>
          <w:b/>
          <w:bCs/>
          <w:i/>
          <w:iCs/>
          <w:lang w:val="en-US"/>
        </w:rPr>
        <w:t>each response</w:t>
      </w:r>
      <w:r w:rsidRPr="002513B4">
        <w:rPr>
          <w:lang w:val="en-US"/>
        </w:rPr>
        <w:t xml:space="preserve"> option for a given question. For example, to report the results of Q</w:t>
      </w:r>
      <w:r w:rsidR="00CA2D96" w:rsidRPr="002513B4">
        <w:rPr>
          <w:lang w:val="en-US"/>
        </w:rPr>
        <w:t>22</w:t>
      </w:r>
      <w:r w:rsidRPr="002513B4">
        <w:rPr>
          <w:lang w:val="en-US"/>
        </w:rPr>
        <w:t xml:space="preserve"> (What is your race</w:t>
      </w:r>
      <w:r w:rsidR="00D456B2" w:rsidRPr="002513B4">
        <w:rPr>
          <w:lang w:val="en-US"/>
        </w:rPr>
        <w:t xml:space="preserve"> or ethnicity</w:t>
      </w:r>
      <w:r w:rsidRPr="002513B4">
        <w:rPr>
          <w:lang w:val="en-US"/>
        </w:rPr>
        <w:t>?) to an HHA client, at least 11 respondents must have answered each of the response options (</w:t>
      </w:r>
      <w:r w:rsidR="00C456B9" w:rsidRPr="002513B4">
        <w:rPr>
          <w:lang w:val="en-US"/>
        </w:rPr>
        <w:t>American Indian or Alaska Native, Asian,</w:t>
      </w:r>
      <w:r w:rsidRPr="002513B4">
        <w:rPr>
          <w:lang w:val="en-US"/>
        </w:rPr>
        <w:t xml:space="preserve"> Black</w:t>
      </w:r>
      <w:r w:rsidR="00C456B9" w:rsidRPr="002513B4">
        <w:rPr>
          <w:lang w:val="en-US"/>
        </w:rPr>
        <w:t xml:space="preserve"> or African American</w:t>
      </w:r>
      <w:r w:rsidRPr="002513B4">
        <w:rPr>
          <w:lang w:val="en-US"/>
        </w:rPr>
        <w:t>, etc.) for the vendor to report the responses for this question.</w:t>
      </w:r>
    </w:p>
    <w:p w14:paraId="57CAA0F4" w14:textId="002E5C08" w:rsidR="00F21322" w:rsidRPr="002513B4" w:rsidRDefault="00F21322" w:rsidP="00EE74F9">
      <w:pPr>
        <w:pStyle w:val="BodyText"/>
        <w:rPr>
          <w:lang w:val="en-US"/>
        </w:rPr>
      </w:pPr>
      <w:r w:rsidRPr="002513B4">
        <w:rPr>
          <w:lang w:val="en-US"/>
        </w:rPr>
        <w:t xml:space="preserve">There are two questions in the “About You” section (Questions </w:t>
      </w:r>
      <w:r w:rsidR="00D456B2" w:rsidRPr="002513B4">
        <w:rPr>
          <w:lang w:val="en-US"/>
        </w:rPr>
        <w:t>24</w:t>
      </w:r>
      <w:r w:rsidRPr="002513B4">
        <w:rPr>
          <w:lang w:val="en-US"/>
        </w:rPr>
        <w:t xml:space="preserve"> and </w:t>
      </w:r>
      <w:r w:rsidR="00D456B2" w:rsidRPr="002513B4">
        <w:rPr>
          <w:lang w:val="en-US"/>
        </w:rPr>
        <w:t>25</w:t>
      </w:r>
      <w:r w:rsidRPr="002513B4">
        <w:rPr>
          <w:lang w:val="en-US"/>
        </w:rPr>
        <w:t xml:space="preserve">) that do not require this restriction. Questions </w:t>
      </w:r>
      <w:r w:rsidR="00D456B2" w:rsidRPr="002513B4">
        <w:rPr>
          <w:lang w:val="en-US"/>
        </w:rPr>
        <w:t>24</w:t>
      </w:r>
      <w:r w:rsidRPr="002513B4">
        <w:rPr>
          <w:lang w:val="en-US"/>
        </w:rPr>
        <w:t xml:space="preserve"> and </w:t>
      </w:r>
      <w:r w:rsidR="00D456B2" w:rsidRPr="002513B4">
        <w:rPr>
          <w:lang w:val="en-US"/>
        </w:rPr>
        <w:t>25</w:t>
      </w:r>
      <w:r w:rsidRPr="002513B4">
        <w:rPr>
          <w:lang w:val="en-US"/>
        </w:rPr>
        <w:t xml:space="preserve"> are proxy questions that collect information about who helped the sampled patient complete the mail survey and how they helped. Response data for these two survey items can be reported to client agency regardless of how many responses for each response option there are.</w:t>
      </w:r>
    </w:p>
    <w:p w14:paraId="138D9100" w14:textId="18502DCA" w:rsidR="00114F1D" w:rsidRPr="002513B4" w:rsidRDefault="00EC5F74" w:rsidP="003B2F66">
      <w:pPr>
        <w:pStyle w:val="Heading4"/>
        <w:rPr>
          <w:lang w:val="en-US"/>
        </w:rPr>
      </w:pPr>
      <w:r w:rsidRPr="002513B4">
        <w:rPr>
          <w:lang w:val="en-US"/>
        </w:rPr>
        <w:lastRenderedPageBreak/>
        <w:t>8.5.</w:t>
      </w:r>
      <w:r w:rsidR="003B2F66" w:rsidRPr="002513B4">
        <w:rPr>
          <w:lang w:val="en-US"/>
        </w:rPr>
        <w:t>3</w:t>
      </w:r>
      <w:r w:rsidR="00E60475" w:rsidRPr="002513B4">
        <w:rPr>
          <w:lang w:val="en-US"/>
        </w:rPr>
        <w:tab/>
      </w:r>
      <w:r w:rsidR="00114F1D" w:rsidRPr="002513B4">
        <w:rPr>
          <w:lang w:val="en-US"/>
        </w:rPr>
        <w:t>Alternative Method for Providing De-Identified Response Data</w:t>
      </w:r>
    </w:p>
    <w:p w14:paraId="3900771B" w14:textId="0D8D5EE6" w:rsidR="00EE74F9" w:rsidRPr="002513B4" w:rsidRDefault="00EE74F9" w:rsidP="00EE74F9">
      <w:pPr>
        <w:pStyle w:val="BodyText"/>
        <w:rPr>
          <w:rFonts w:eastAsia="Times New Roman"/>
          <w:szCs w:val="24"/>
          <w:lang w:val="en-US"/>
        </w:rPr>
      </w:pPr>
      <w:r w:rsidRPr="002513B4">
        <w:rPr>
          <w:rFonts w:eastAsia="Times New Roman"/>
          <w:szCs w:val="24"/>
          <w:lang w:val="en-US"/>
        </w:rPr>
        <w:t xml:space="preserve">An acceptable alternative method for reporting de-identified </w:t>
      </w:r>
      <w:r w:rsidR="002F412C" w:rsidRPr="002513B4">
        <w:rPr>
          <w:rFonts w:eastAsia="Times New Roman"/>
          <w:szCs w:val="24"/>
          <w:lang w:val="en-US"/>
        </w:rPr>
        <w:t>“</w:t>
      </w:r>
      <w:r w:rsidRPr="002513B4">
        <w:rPr>
          <w:rFonts w:eastAsia="Times New Roman"/>
          <w:szCs w:val="24"/>
          <w:lang w:val="en-US"/>
        </w:rPr>
        <w:t>About You</w:t>
      </w:r>
      <w:r w:rsidR="002F412C" w:rsidRPr="002513B4">
        <w:rPr>
          <w:rFonts w:eastAsia="Times New Roman"/>
          <w:szCs w:val="24"/>
          <w:lang w:val="en-US"/>
        </w:rPr>
        <w:t>”</w:t>
      </w:r>
      <w:r w:rsidRPr="002513B4">
        <w:rPr>
          <w:rFonts w:eastAsia="Times New Roman"/>
          <w:szCs w:val="24"/>
          <w:lang w:val="en-US"/>
        </w:rPr>
        <w:t xml:space="preserve"> response data is to combine two or more</w:t>
      </w:r>
      <w:r w:rsidR="00114F1D" w:rsidRPr="002513B4">
        <w:rPr>
          <w:rFonts w:eastAsia="Times New Roman"/>
          <w:szCs w:val="24"/>
          <w:lang w:val="en-US"/>
        </w:rPr>
        <w:t xml:space="preserve"> contiguous</w:t>
      </w:r>
      <w:r w:rsidRPr="002513B4">
        <w:rPr>
          <w:rFonts w:eastAsia="Times New Roman"/>
          <w:szCs w:val="24"/>
          <w:lang w:val="en-US"/>
        </w:rPr>
        <w:t xml:space="preserve"> response options so that the combined responses meet the reporting requirement of 11 or more. Below is an example for how vendors can implement this alternative method with </w:t>
      </w:r>
      <w:r w:rsidRPr="002513B4">
        <w:rPr>
          <w:rFonts w:eastAsia="Times New Roman"/>
          <w:b/>
          <w:bCs/>
          <w:szCs w:val="24"/>
          <w:lang w:val="en-US"/>
        </w:rPr>
        <w:t>Question 2</w:t>
      </w:r>
      <w:r w:rsidR="00D456B2" w:rsidRPr="002513B4">
        <w:rPr>
          <w:rFonts w:eastAsia="Times New Roman"/>
          <w:b/>
          <w:bCs/>
          <w:szCs w:val="24"/>
          <w:lang w:val="en-US"/>
        </w:rPr>
        <w:t>1</w:t>
      </w:r>
      <w:r w:rsidRPr="002513B4">
        <w:rPr>
          <w:rFonts w:eastAsia="Times New Roman"/>
          <w:szCs w:val="24"/>
          <w:lang w:val="en-US"/>
        </w:rPr>
        <w:t xml:space="preserve"> (What is the highest grade or level of school that you have completed?). </w:t>
      </w:r>
    </w:p>
    <w:p w14:paraId="61E612EF" w14:textId="106541C5" w:rsidR="00EE74F9" w:rsidRPr="002513B4" w:rsidRDefault="00EE74F9" w:rsidP="00EE74F9">
      <w:pPr>
        <w:pStyle w:val="BodyText"/>
        <w:rPr>
          <w:rFonts w:eastAsia="Batang"/>
          <w:iCs/>
          <w:szCs w:val="24"/>
          <w:lang w:val="en-US"/>
        </w:rPr>
      </w:pPr>
      <w:r w:rsidRPr="002513B4">
        <w:rPr>
          <w:rFonts w:eastAsia="Batang"/>
          <w:iCs/>
          <w:szCs w:val="24"/>
          <w:lang w:val="en-US"/>
        </w:rPr>
        <w:t>This HHA has 50 completed surveys in a month. The distribution of response categories for Q2</w:t>
      </w:r>
      <w:r w:rsidR="00D456B2" w:rsidRPr="002513B4">
        <w:rPr>
          <w:rFonts w:eastAsia="Batang"/>
          <w:iCs/>
          <w:szCs w:val="24"/>
          <w:lang w:val="en-US"/>
        </w:rPr>
        <w:t>1</w:t>
      </w:r>
      <w:r w:rsidRPr="002513B4">
        <w:rPr>
          <w:rFonts w:eastAsia="Batang"/>
          <w:iCs/>
          <w:szCs w:val="24"/>
          <w:lang w:val="en-US"/>
        </w:rPr>
        <w:t xml:space="preserve"> is as follows</w:t>
      </w:r>
      <w:r w:rsidR="00A7362D" w:rsidRPr="002513B4">
        <w:rPr>
          <w:rFonts w:eastAsia="Batang"/>
          <w:iCs/>
          <w:szCs w:val="24"/>
          <w:lang w:val="en-US"/>
        </w:rPr>
        <w:t xml:space="preserve"> in </w:t>
      </w:r>
      <w:r w:rsidR="00A7362D" w:rsidRPr="002513B4">
        <w:rPr>
          <w:rFonts w:eastAsia="Batang"/>
          <w:b/>
          <w:bCs/>
          <w:i/>
          <w:szCs w:val="24"/>
          <w:lang w:val="en-US"/>
        </w:rPr>
        <w:t>Table 8.1</w:t>
      </w:r>
      <w:r w:rsidRPr="002513B4">
        <w:rPr>
          <w:rFonts w:eastAsia="Batang"/>
          <w:iCs/>
          <w:szCs w:val="24"/>
          <w:lang w:val="en-US"/>
        </w:rPr>
        <w:t>:</w:t>
      </w:r>
    </w:p>
    <w:p w14:paraId="54BB7D3A" w14:textId="1C94B035" w:rsidR="00580078" w:rsidRPr="002513B4" w:rsidRDefault="00580078" w:rsidP="00580078">
      <w:pPr>
        <w:pStyle w:val="TableCaption"/>
      </w:pPr>
      <w:bookmarkStart w:id="279" w:name="_Toc217024914"/>
      <w:r w:rsidRPr="002513B4">
        <w:t>Table 8.1</w:t>
      </w:r>
      <w:r w:rsidR="00A7362D" w:rsidRPr="002513B4">
        <w:t xml:space="preserve"> </w:t>
      </w:r>
      <w:r w:rsidR="00020A14" w:rsidRPr="002513B4">
        <w:t xml:space="preserve">Raw </w:t>
      </w:r>
      <w:r w:rsidR="00945017" w:rsidRPr="002513B4">
        <w:t xml:space="preserve">Response Distribution </w:t>
      </w:r>
      <w:r w:rsidR="00020A14" w:rsidRPr="002513B4">
        <w:t>for Q21</w:t>
      </w:r>
      <w:r w:rsidR="005976AD" w:rsidRPr="002513B4">
        <w:t xml:space="preserve"> Example</w:t>
      </w:r>
      <w:bookmarkEnd w:id="279"/>
    </w:p>
    <w:tbl>
      <w:tblPr>
        <w:tblW w:w="7222" w:type="dxa"/>
        <w:jc w:val="center"/>
        <w:tblCellMar>
          <w:top w:w="15" w:type="dxa"/>
          <w:left w:w="15" w:type="dxa"/>
          <w:bottom w:w="15" w:type="dxa"/>
          <w:right w:w="15" w:type="dxa"/>
        </w:tblCellMar>
        <w:tblLook w:val="04A0" w:firstRow="1" w:lastRow="0" w:firstColumn="1" w:lastColumn="0" w:noHBand="0" w:noVBand="1"/>
        <w:tblCaption w:val="Raw Response Distribution for Q21 Example"/>
        <w:tblDescription w:val="Table illustrates example of distribution of raw survey responses to question 21 example"/>
      </w:tblPr>
      <w:tblGrid>
        <w:gridCol w:w="3442"/>
        <w:gridCol w:w="3780"/>
      </w:tblGrid>
      <w:tr w:rsidR="00EE74F9" w:rsidRPr="002513B4" w14:paraId="5E7239BC" w14:textId="77777777" w:rsidTr="00A7362D">
        <w:trPr>
          <w:cantSplit/>
          <w:tblHeader/>
          <w:jc w:val="center"/>
        </w:trPr>
        <w:tc>
          <w:tcPr>
            <w:tcW w:w="3442" w:type="dxa"/>
            <w:tcBorders>
              <w:top w:val="single" w:sz="8" w:space="0" w:color="auto"/>
              <w:bottom w:val="single" w:sz="8" w:space="0" w:color="auto"/>
            </w:tcBorders>
            <w:shd w:val="clear" w:color="auto" w:fill="1F497D"/>
            <w:vAlign w:val="center"/>
            <w:hideMark/>
          </w:tcPr>
          <w:p w14:paraId="527149A4" w14:textId="77777777" w:rsidR="00EE74F9" w:rsidRPr="002513B4" w:rsidRDefault="00EE74F9" w:rsidP="00C553FE">
            <w:pPr>
              <w:pStyle w:val="TableHeaders"/>
              <w:keepLines/>
              <w:rPr>
                <w:color w:val="FFFFFF" w:themeColor="background1"/>
                <w:sz w:val="18"/>
                <w:szCs w:val="18"/>
              </w:rPr>
            </w:pPr>
            <w:r w:rsidRPr="002513B4">
              <w:rPr>
                <w:color w:val="FFFFFF" w:themeColor="background1"/>
                <w:sz w:val="18"/>
                <w:szCs w:val="18"/>
              </w:rPr>
              <w:t>Response Category</w:t>
            </w:r>
          </w:p>
        </w:tc>
        <w:tc>
          <w:tcPr>
            <w:tcW w:w="3780" w:type="dxa"/>
            <w:tcBorders>
              <w:top w:val="single" w:sz="8" w:space="0" w:color="auto"/>
              <w:bottom w:val="single" w:sz="8" w:space="0" w:color="auto"/>
            </w:tcBorders>
            <w:shd w:val="clear" w:color="auto" w:fill="1F497D"/>
            <w:vAlign w:val="center"/>
            <w:hideMark/>
          </w:tcPr>
          <w:p w14:paraId="5F230B38" w14:textId="77777777" w:rsidR="00EE74F9" w:rsidRPr="002513B4" w:rsidRDefault="00EE74F9" w:rsidP="00C553FE">
            <w:pPr>
              <w:pStyle w:val="TableHeaders"/>
              <w:keepLines/>
              <w:rPr>
                <w:color w:val="FFFFFF" w:themeColor="background1"/>
                <w:sz w:val="18"/>
                <w:szCs w:val="18"/>
              </w:rPr>
            </w:pPr>
            <w:r w:rsidRPr="002513B4">
              <w:rPr>
                <w:color w:val="FFFFFF" w:themeColor="background1"/>
                <w:sz w:val="18"/>
                <w:szCs w:val="18"/>
              </w:rPr>
              <w:t>Number of Responses</w:t>
            </w:r>
          </w:p>
        </w:tc>
      </w:tr>
      <w:tr w:rsidR="00EE74F9" w:rsidRPr="002513B4" w14:paraId="783BBC30" w14:textId="77777777" w:rsidTr="00A7362D">
        <w:trPr>
          <w:cantSplit/>
          <w:jc w:val="center"/>
        </w:trPr>
        <w:tc>
          <w:tcPr>
            <w:tcW w:w="3442" w:type="dxa"/>
            <w:tcBorders>
              <w:top w:val="single" w:sz="8" w:space="0" w:color="auto"/>
            </w:tcBorders>
            <w:vAlign w:val="center"/>
            <w:hideMark/>
          </w:tcPr>
          <w:p w14:paraId="5F1DCBB2" w14:textId="77777777" w:rsidR="00EE74F9" w:rsidRPr="002513B4" w:rsidRDefault="00EE74F9" w:rsidP="00C553FE">
            <w:pPr>
              <w:pStyle w:val="TableText"/>
              <w:keepLines/>
              <w:rPr>
                <w:color w:val="555555"/>
                <w:sz w:val="18"/>
                <w:szCs w:val="18"/>
              </w:rPr>
            </w:pPr>
            <w:r w:rsidRPr="002513B4">
              <w:rPr>
                <w:sz w:val="18"/>
                <w:szCs w:val="18"/>
              </w:rPr>
              <w:t>8th grade or less</w:t>
            </w:r>
          </w:p>
        </w:tc>
        <w:tc>
          <w:tcPr>
            <w:tcW w:w="3780" w:type="dxa"/>
            <w:tcBorders>
              <w:top w:val="single" w:sz="8" w:space="0" w:color="auto"/>
            </w:tcBorders>
            <w:vAlign w:val="center"/>
            <w:hideMark/>
          </w:tcPr>
          <w:p w14:paraId="151C42CF" w14:textId="77777777" w:rsidR="00EE74F9" w:rsidRPr="002513B4" w:rsidRDefault="00EE74F9" w:rsidP="00C553FE">
            <w:pPr>
              <w:pStyle w:val="TableText"/>
              <w:keepLines/>
              <w:jc w:val="center"/>
              <w:rPr>
                <w:color w:val="555555"/>
                <w:sz w:val="18"/>
                <w:szCs w:val="18"/>
              </w:rPr>
            </w:pPr>
            <w:r w:rsidRPr="002513B4">
              <w:rPr>
                <w:sz w:val="18"/>
                <w:szCs w:val="18"/>
              </w:rPr>
              <w:t>4</w:t>
            </w:r>
          </w:p>
        </w:tc>
      </w:tr>
      <w:tr w:rsidR="00EE74F9" w:rsidRPr="002513B4" w14:paraId="56648A9A" w14:textId="77777777" w:rsidTr="00A7362D">
        <w:trPr>
          <w:cantSplit/>
          <w:jc w:val="center"/>
        </w:trPr>
        <w:tc>
          <w:tcPr>
            <w:tcW w:w="3442" w:type="dxa"/>
            <w:vAlign w:val="center"/>
            <w:hideMark/>
          </w:tcPr>
          <w:p w14:paraId="26AF7819" w14:textId="77777777" w:rsidR="00EE74F9" w:rsidRPr="002513B4" w:rsidRDefault="00EE74F9" w:rsidP="00C553FE">
            <w:pPr>
              <w:pStyle w:val="TableText"/>
              <w:keepLines/>
              <w:rPr>
                <w:color w:val="555555"/>
                <w:sz w:val="18"/>
                <w:szCs w:val="18"/>
              </w:rPr>
            </w:pPr>
            <w:r w:rsidRPr="002513B4">
              <w:rPr>
                <w:sz w:val="18"/>
                <w:szCs w:val="18"/>
              </w:rPr>
              <w:t>Some high school</w:t>
            </w:r>
          </w:p>
        </w:tc>
        <w:tc>
          <w:tcPr>
            <w:tcW w:w="3780" w:type="dxa"/>
            <w:vAlign w:val="center"/>
            <w:hideMark/>
          </w:tcPr>
          <w:p w14:paraId="349F17E5" w14:textId="77777777" w:rsidR="00EE74F9" w:rsidRPr="002513B4" w:rsidRDefault="00EE74F9" w:rsidP="00C553FE">
            <w:pPr>
              <w:pStyle w:val="TableText"/>
              <w:keepLines/>
              <w:jc w:val="center"/>
              <w:rPr>
                <w:color w:val="555555"/>
                <w:sz w:val="18"/>
                <w:szCs w:val="18"/>
              </w:rPr>
            </w:pPr>
            <w:r w:rsidRPr="002513B4">
              <w:rPr>
                <w:sz w:val="18"/>
                <w:szCs w:val="18"/>
              </w:rPr>
              <w:t>9</w:t>
            </w:r>
          </w:p>
        </w:tc>
      </w:tr>
      <w:tr w:rsidR="00EE74F9" w:rsidRPr="002513B4" w14:paraId="30A13620" w14:textId="77777777" w:rsidTr="00A7362D">
        <w:trPr>
          <w:cantSplit/>
          <w:jc w:val="center"/>
        </w:trPr>
        <w:tc>
          <w:tcPr>
            <w:tcW w:w="3442" w:type="dxa"/>
            <w:vAlign w:val="center"/>
            <w:hideMark/>
          </w:tcPr>
          <w:p w14:paraId="6A260AB0" w14:textId="77777777" w:rsidR="00EE74F9" w:rsidRPr="002513B4" w:rsidRDefault="00EE74F9" w:rsidP="00C553FE">
            <w:pPr>
              <w:pStyle w:val="TableText"/>
              <w:keepLines/>
              <w:rPr>
                <w:color w:val="555555"/>
                <w:sz w:val="18"/>
                <w:szCs w:val="18"/>
              </w:rPr>
            </w:pPr>
            <w:r w:rsidRPr="002513B4">
              <w:rPr>
                <w:sz w:val="18"/>
                <w:szCs w:val="18"/>
              </w:rPr>
              <w:t>High school graduate</w:t>
            </w:r>
          </w:p>
        </w:tc>
        <w:tc>
          <w:tcPr>
            <w:tcW w:w="3780" w:type="dxa"/>
            <w:vAlign w:val="center"/>
            <w:hideMark/>
          </w:tcPr>
          <w:p w14:paraId="5074EC7C" w14:textId="77777777" w:rsidR="00EE74F9" w:rsidRPr="002513B4" w:rsidRDefault="00EE74F9" w:rsidP="00C553FE">
            <w:pPr>
              <w:pStyle w:val="TableText"/>
              <w:keepLines/>
              <w:jc w:val="center"/>
              <w:rPr>
                <w:color w:val="555555"/>
                <w:sz w:val="18"/>
                <w:szCs w:val="18"/>
              </w:rPr>
            </w:pPr>
            <w:r w:rsidRPr="002513B4">
              <w:rPr>
                <w:sz w:val="18"/>
                <w:szCs w:val="18"/>
              </w:rPr>
              <w:t>12</w:t>
            </w:r>
          </w:p>
        </w:tc>
      </w:tr>
      <w:tr w:rsidR="00EE74F9" w:rsidRPr="002513B4" w14:paraId="1EA46873" w14:textId="77777777" w:rsidTr="00A7362D">
        <w:trPr>
          <w:cantSplit/>
          <w:jc w:val="center"/>
        </w:trPr>
        <w:tc>
          <w:tcPr>
            <w:tcW w:w="3442" w:type="dxa"/>
            <w:vAlign w:val="center"/>
            <w:hideMark/>
          </w:tcPr>
          <w:p w14:paraId="33A644BD" w14:textId="77777777" w:rsidR="00EE74F9" w:rsidRPr="002513B4" w:rsidRDefault="00EE74F9" w:rsidP="00C553FE">
            <w:pPr>
              <w:pStyle w:val="TableText"/>
              <w:keepLines/>
              <w:rPr>
                <w:color w:val="555555"/>
                <w:sz w:val="18"/>
                <w:szCs w:val="18"/>
              </w:rPr>
            </w:pPr>
            <w:r w:rsidRPr="002513B4">
              <w:rPr>
                <w:sz w:val="18"/>
                <w:szCs w:val="18"/>
              </w:rPr>
              <w:t>Some college</w:t>
            </w:r>
          </w:p>
        </w:tc>
        <w:tc>
          <w:tcPr>
            <w:tcW w:w="3780" w:type="dxa"/>
            <w:vAlign w:val="center"/>
            <w:hideMark/>
          </w:tcPr>
          <w:p w14:paraId="0CA7DBB5" w14:textId="77777777" w:rsidR="00EE74F9" w:rsidRPr="002513B4" w:rsidRDefault="00EE74F9" w:rsidP="00C553FE">
            <w:pPr>
              <w:pStyle w:val="TableText"/>
              <w:keepLines/>
              <w:jc w:val="center"/>
              <w:rPr>
                <w:color w:val="555555"/>
                <w:sz w:val="18"/>
                <w:szCs w:val="18"/>
              </w:rPr>
            </w:pPr>
            <w:r w:rsidRPr="002513B4">
              <w:rPr>
                <w:sz w:val="18"/>
                <w:szCs w:val="18"/>
              </w:rPr>
              <w:t>11</w:t>
            </w:r>
          </w:p>
        </w:tc>
      </w:tr>
      <w:tr w:rsidR="00EE74F9" w:rsidRPr="002513B4" w14:paraId="28803F95" w14:textId="77777777" w:rsidTr="00A7362D">
        <w:trPr>
          <w:cantSplit/>
          <w:jc w:val="center"/>
        </w:trPr>
        <w:tc>
          <w:tcPr>
            <w:tcW w:w="3442" w:type="dxa"/>
            <w:vAlign w:val="center"/>
            <w:hideMark/>
          </w:tcPr>
          <w:p w14:paraId="2447D860" w14:textId="77777777" w:rsidR="00EE74F9" w:rsidRPr="002513B4" w:rsidRDefault="00EE74F9" w:rsidP="00C553FE">
            <w:pPr>
              <w:pStyle w:val="TableText"/>
              <w:keepLines/>
              <w:rPr>
                <w:color w:val="555555"/>
                <w:sz w:val="18"/>
                <w:szCs w:val="18"/>
              </w:rPr>
            </w:pPr>
            <w:r w:rsidRPr="002513B4">
              <w:rPr>
                <w:sz w:val="18"/>
                <w:szCs w:val="18"/>
              </w:rPr>
              <w:t>4-year graduate</w:t>
            </w:r>
          </w:p>
        </w:tc>
        <w:tc>
          <w:tcPr>
            <w:tcW w:w="3780" w:type="dxa"/>
            <w:vAlign w:val="center"/>
            <w:hideMark/>
          </w:tcPr>
          <w:p w14:paraId="7344911F" w14:textId="77777777" w:rsidR="00EE74F9" w:rsidRPr="002513B4" w:rsidRDefault="00EE74F9" w:rsidP="00C553FE">
            <w:pPr>
              <w:pStyle w:val="TableText"/>
              <w:keepLines/>
              <w:jc w:val="center"/>
              <w:rPr>
                <w:color w:val="555555"/>
                <w:sz w:val="18"/>
                <w:szCs w:val="18"/>
              </w:rPr>
            </w:pPr>
            <w:r w:rsidRPr="002513B4">
              <w:rPr>
                <w:sz w:val="18"/>
                <w:szCs w:val="18"/>
              </w:rPr>
              <w:t>8</w:t>
            </w:r>
          </w:p>
        </w:tc>
      </w:tr>
      <w:tr w:rsidR="00EE74F9" w:rsidRPr="002513B4" w14:paraId="1C5846B8" w14:textId="77777777" w:rsidTr="00A7362D">
        <w:trPr>
          <w:cantSplit/>
          <w:jc w:val="center"/>
        </w:trPr>
        <w:tc>
          <w:tcPr>
            <w:tcW w:w="3442" w:type="dxa"/>
            <w:tcBorders>
              <w:bottom w:val="single" w:sz="8" w:space="0" w:color="auto"/>
            </w:tcBorders>
            <w:vAlign w:val="center"/>
            <w:hideMark/>
          </w:tcPr>
          <w:p w14:paraId="5B141191" w14:textId="77777777" w:rsidR="00EE74F9" w:rsidRPr="002513B4" w:rsidRDefault="00EE74F9" w:rsidP="00C553FE">
            <w:pPr>
              <w:pStyle w:val="TableText"/>
              <w:keepLines/>
              <w:rPr>
                <w:color w:val="555555"/>
                <w:sz w:val="18"/>
                <w:szCs w:val="18"/>
              </w:rPr>
            </w:pPr>
            <w:r w:rsidRPr="002513B4">
              <w:rPr>
                <w:sz w:val="18"/>
                <w:szCs w:val="18"/>
              </w:rPr>
              <w:t>More than 4-year degree</w:t>
            </w:r>
          </w:p>
        </w:tc>
        <w:tc>
          <w:tcPr>
            <w:tcW w:w="3780" w:type="dxa"/>
            <w:tcBorders>
              <w:bottom w:val="single" w:sz="8" w:space="0" w:color="auto"/>
            </w:tcBorders>
            <w:vAlign w:val="center"/>
            <w:hideMark/>
          </w:tcPr>
          <w:p w14:paraId="2BF2CABC" w14:textId="77777777" w:rsidR="00EE74F9" w:rsidRPr="002513B4" w:rsidRDefault="00EE74F9" w:rsidP="00C553FE">
            <w:pPr>
              <w:pStyle w:val="TableText"/>
              <w:keepLines/>
              <w:jc w:val="center"/>
              <w:rPr>
                <w:color w:val="555555"/>
                <w:sz w:val="18"/>
                <w:szCs w:val="18"/>
              </w:rPr>
            </w:pPr>
            <w:r w:rsidRPr="002513B4">
              <w:rPr>
                <w:sz w:val="18"/>
                <w:szCs w:val="18"/>
              </w:rPr>
              <w:t>6</w:t>
            </w:r>
          </w:p>
        </w:tc>
      </w:tr>
    </w:tbl>
    <w:p w14:paraId="019DD212" w14:textId="77777777" w:rsidR="00EE74F9" w:rsidRPr="002513B4" w:rsidRDefault="00EE74F9" w:rsidP="00EE74F9">
      <w:pPr>
        <w:pStyle w:val="Source"/>
        <w:rPr>
          <w:lang w:val="en-US"/>
        </w:rPr>
      </w:pPr>
    </w:p>
    <w:p w14:paraId="1E90AC1F" w14:textId="20A9B7EE" w:rsidR="00EE74F9" w:rsidRPr="002513B4" w:rsidRDefault="00EE74F9" w:rsidP="00EE74F9">
      <w:pPr>
        <w:pStyle w:val="BodyText"/>
        <w:rPr>
          <w:rFonts w:eastAsia="Times New Roman"/>
          <w:szCs w:val="24"/>
          <w:lang w:val="en-US"/>
        </w:rPr>
      </w:pPr>
      <w:r w:rsidRPr="002513B4">
        <w:rPr>
          <w:rFonts w:eastAsia="Times New Roman"/>
          <w:szCs w:val="24"/>
          <w:lang w:val="en-US"/>
        </w:rPr>
        <w:t>When following the first method, data for Q2</w:t>
      </w:r>
      <w:r w:rsidR="00D456B2" w:rsidRPr="002513B4">
        <w:rPr>
          <w:rFonts w:eastAsia="Times New Roman"/>
          <w:szCs w:val="24"/>
          <w:lang w:val="en-US"/>
        </w:rPr>
        <w:t>1</w:t>
      </w:r>
      <w:r w:rsidRPr="002513B4">
        <w:rPr>
          <w:rFonts w:eastAsia="Times New Roman"/>
          <w:szCs w:val="24"/>
          <w:lang w:val="en-US"/>
        </w:rPr>
        <w:t xml:space="preserve"> cannot be shared with the agency because one or more of the response categories has fewer than 11 responses</w:t>
      </w:r>
      <w:r w:rsidR="00114F1D" w:rsidRPr="002513B4">
        <w:rPr>
          <w:rFonts w:eastAsia="Times New Roman"/>
          <w:szCs w:val="24"/>
          <w:lang w:val="en-US"/>
        </w:rPr>
        <w:t>.</w:t>
      </w:r>
    </w:p>
    <w:p w14:paraId="2F27E1DA" w14:textId="0FC6EDB3" w:rsidR="00EE74F9" w:rsidRPr="002513B4" w:rsidRDefault="00EE74F9" w:rsidP="00EE74F9">
      <w:pPr>
        <w:pStyle w:val="BodyText"/>
        <w:rPr>
          <w:rFonts w:eastAsia="Times New Roman"/>
          <w:szCs w:val="24"/>
          <w:lang w:val="en-US"/>
        </w:rPr>
      </w:pPr>
      <w:r w:rsidRPr="002513B4">
        <w:rPr>
          <w:rFonts w:eastAsia="Times New Roman"/>
          <w:szCs w:val="24"/>
          <w:lang w:val="en-US"/>
        </w:rPr>
        <w:t>However, using the alternative method, the vendor can combine Q2</w:t>
      </w:r>
      <w:r w:rsidR="00D456B2" w:rsidRPr="002513B4">
        <w:rPr>
          <w:rFonts w:eastAsia="Times New Roman"/>
          <w:szCs w:val="24"/>
          <w:lang w:val="en-US"/>
        </w:rPr>
        <w:t>1</w:t>
      </w:r>
      <w:r w:rsidRPr="002513B4">
        <w:rPr>
          <w:rFonts w:eastAsia="Times New Roman"/>
          <w:szCs w:val="24"/>
          <w:lang w:val="en-US"/>
        </w:rPr>
        <w:t xml:space="preserve"> response categories (with appropriate adjustments to the response categories for reporting purposes) to meet the reporting requirement of 11 or more responses per category, as shown in </w:t>
      </w:r>
      <w:r w:rsidR="00A7362D" w:rsidRPr="002513B4">
        <w:rPr>
          <w:rFonts w:eastAsia="Times New Roman"/>
          <w:b/>
          <w:bCs/>
          <w:i/>
          <w:iCs/>
          <w:szCs w:val="24"/>
          <w:lang w:val="en-US"/>
        </w:rPr>
        <w:t>Table 8.2</w:t>
      </w:r>
      <w:r w:rsidRPr="002513B4">
        <w:rPr>
          <w:rFonts w:eastAsia="Times New Roman"/>
          <w:szCs w:val="24"/>
          <w:lang w:val="en-US"/>
        </w:rPr>
        <w:t>.</w:t>
      </w:r>
    </w:p>
    <w:p w14:paraId="4BD3C16C" w14:textId="35774C2C" w:rsidR="00A7362D" w:rsidRPr="002513B4" w:rsidRDefault="00A7362D" w:rsidP="00A7362D">
      <w:pPr>
        <w:pStyle w:val="TableCaption"/>
      </w:pPr>
      <w:bookmarkStart w:id="280" w:name="_Toc217024915"/>
      <w:r w:rsidRPr="002513B4">
        <w:t xml:space="preserve">Table 8.2 </w:t>
      </w:r>
      <w:r w:rsidR="005976AD" w:rsidRPr="002513B4">
        <w:t>Alternative Method Response Distribution for Q21 Example</w:t>
      </w:r>
      <w:bookmarkEnd w:id="280"/>
    </w:p>
    <w:tbl>
      <w:tblPr>
        <w:tblW w:w="0" w:type="auto"/>
        <w:jc w:val="center"/>
        <w:tblCellMar>
          <w:top w:w="15" w:type="dxa"/>
          <w:left w:w="15" w:type="dxa"/>
          <w:bottom w:w="15" w:type="dxa"/>
          <w:right w:w="15" w:type="dxa"/>
        </w:tblCellMar>
        <w:tblLook w:val="04A0" w:firstRow="1" w:lastRow="0" w:firstColumn="1" w:lastColumn="0" w:noHBand="0" w:noVBand="1"/>
        <w:tblCaption w:val="Alternative Method Response Distribution for Q21 Example"/>
        <w:tblDescription w:val="Table illustrates example of distribution of survey responses using the alternative method for question 21 "/>
      </w:tblPr>
      <w:tblGrid>
        <w:gridCol w:w="3532"/>
        <w:gridCol w:w="3690"/>
      </w:tblGrid>
      <w:tr w:rsidR="00EE74F9" w:rsidRPr="002513B4" w14:paraId="74525CFD" w14:textId="77777777" w:rsidTr="00A7362D">
        <w:trPr>
          <w:cantSplit/>
          <w:tblHeader/>
          <w:jc w:val="center"/>
        </w:trPr>
        <w:tc>
          <w:tcPr>
            <w:tcW w:w="3532" w:type="dxa"/>
            <w:tcBorders>
              <w:top w:val="single" w:sz="8" w:space="0" w:color="auto"/>
              <w:bottom w:val="single" w:sz="8" w:space="0" w:color="auto"/>
            </w:tcBorders>
            <w:shd w:val="clear" w:color="auto" w:fill="1F497D"/>
            <w:vAlign w:val="center"/>
            <w:hideMark/>
          </w:tcPr>
          <w:p w14:paraId="28103D34" w14:textId="77777777" w:rsidR="00EE74F9" w:rsidRPr="002513B4" w:rsidRDefault="00EE74F9" w:rsidP="00A7362D">
            <w:pPr>
              <w:pStyle w:val="TableHeaders"/>
              <w:rPr>
                <w:color w:val="FFFFFF" w:themeColor="background1"/>
                <w:sz w:val="18"/>
                <w:szCs w:val="18"/>
              </w:rPr>
            </w:pPr>
            <w:r w:rsidRPr="002513B4">
              <w:rPr>
                <w:color w:val="FFFFFF" w:themeColor="background1"/>
                <w:sz w:val="18"/>
                <w:szCs w:val="18"/>
              </w:rPr>
              <w:t>Response Category</w:t>
            </w:r>
          </w:p>
        </w:tc>
        <w:tc>
          <w:tcPr>
            <w:tcW w:w="3690" w:type="dxa"/>
            <w:tcBorders>
              <w:top w:val="single" w:sz="8" w:space="0" w:color="auto"/>
              <w:bottom w:val="single" w:sz="8" w:space="0" w:color="auto"/>
            </w:tcBorders>
            <w:shd w:val="clear" w:color="auto" w:fill="1F497D"/>
            <w:vAlign w:val="center"/>
            <w:hideMark/>
          </w:tcPr>
          <w:p w14:paraId="1208BD49" w14:textId="29500F1D" w:rsidR="00EE74F9" w:rsidRPr="002513B4" w:rsidRDefault="00EE74F9" w:rsidP="00A7362D">
            <w:pPr>
              <w:pStyle w:val="TableHeaders"/>
              <w:rPr>
                <w:color w:val="FFFFFF" w:themeColor="background1"/>
                <w:sz w:val="18"/>
                <w:szCs w:val="18"/>
              </w:rPr>
            </w:pPr>
            <w:r w:rsidRPr="002513B4">
              <w:rPr>
                <w:color w:val="FFFFFF" w:themeColor="background1"/>
                <w:sz w:val="18"/>
                <w:szCs w:val="18"/>
              </w:rPr>
              <w:t>Number of Responses</w:t>
            </w:r>
            <w:r w:rsidR="005976AD" w:rsidRPr="002513B4">
              <w:rPr>
                <w:color w:val="FFFFFF" w:themeColor="background1"/>
                <w:sz w:val="18"/>
                <w:szCs w:val="18"/>
              </w:rPr>
              <w:t xml:space="preserve"> </w:t>
            </w:r>
          </w:p>
        </w:tc>
      </w:tr>
      <w:tr w:rsidR="00EE74F9" w:rsidRPr="002513B4" w14:paraId="524347CE" w14:textId="77777777" w:rsidTr="00A7362D">
        <w:trPr>
          <w:cantSplit/>
          <w:jc w:val="center"/>
        </w:trPr>
        <w:tc>
          <w:tcPr>
            <w:tcW w:w="3532" w:type="dxa"/>
            <w:tcBorders>
              <w:top w:val="single" w:sz="8" w:space="0" w:color="auto"/>
            </w:tcBorders>
            <w:vAlign w:val="center"/>
            <w:hideMark/>
          </w:tcPr>
          <w:p w14:paraId="16C658B3" w14:textId="77777777" w:rsidR="00EE74F9" w:rsidRPr="002513B4" w:rsidRDefault="00EE74F9" w:rsidP="00A7362D">
            <w:pPr>
              <w:pStyle w:val="TableText"/>
              <w:keepNext/>
              <w:rPr>
                <w:color w:val="555555"/>
                <w:sz w:val="18"/>
                <w:szCs w:val="18"/>
              </w:rPr>
            </w:pPr>
            <w:r w:rsidRPr="002513B4">
              <w:rPr>
                <w:sz w:val="18"/>
                <w:szCs w:val="18"/>
              </w:rPr>
              <w:t>Some high school or less</w:t>
            </w:r>
          </w:p>
        </w:tc>
        <w:tc>
          <w:tcPr>
            <w:tcW w:w="3690" w:type="dxa"/>
            <w:tcBorders>
              <w:top w:val="single" w:sz="8" w:space="0" w:color="auto"/>
            </w:tcBorders>
            <w:vAlign w:val="center"/>
            <w:hideMark/>
          </w:tcPr>
          <w:p w14:paraId="524593C8" w14:textId="77777777" w:rsidR="00EE74F9" w:rsidRPr="002513B4" w:rsidRDefault="00EE74F9" w:rsidP="00A7362D">
            <w:pPr>
              <w:pStyle w:val="TableText"/>
              <w:keepNext/>
              <w:jc w:val="center"/>
              <w:rPr>
                <w:color w:val="555555"/>
                <w:sz w:val="18"/>
                <w:szCs w:val="18"/>
              </w:rPr>
            </w:pPr>
            <w:r w:rsidRPr="002513B4">
              <w:rPr>
                <w:sz w:val="18"/>
                <w:szCs w:val="18"/>
              </w:rPr>
              <w:t>13</w:t>
            </w:r>
          </w:p>
        </w:tc>
      </w:tr>
      <w:tr w:rsidR="00EE74F9" w:rsidRPr="002513B4" w14:paraId="440569CF" w14:textId="77777777" w:rsidTr="00A7362D">
        <w:trPr>
          <w:cantSplit/>
          <w:jc w:val="center"/>
        </w:trPr>
        <w:tc>
          <w:tcPr>
            <w:tcW w:w="3532" w:type="dxa"/>
            <w:vAlign w:val="center"/>
            <w:hideMark/>
          </w:tcPr>
          <w:p w14:paraId="7A26961B" w14:textId="77777777" w:rsidR="00EE74F9" w:rsidRPr="002513B4" w:rsidRDefault="00EE74F9" w:rsidP="00A7362D">
            <w:pPr>
              <w:pStyle w:val="TableText"/>
              <w:keepNext/>
              <w:rPr>
                <w:color w:val="555555"/>
                <w:sz w:val="18"/>
                <w:szCs w:val="18"/>
              </w:rPr>
            </w:pPr>
            <w:r w:rsidRPr="002513B4">
              <w:rPr>
                <w:sz w:val="18"/>
                <w:szCs w:val="18"/>
              </w:rPr>
              <w:t>High school graduate</w:t>
            </w:r>
          </w:p>
        </w:tc>
        <w:tc>
          <w:tcPr>
            <w:tcW w:w="3690" w:type="dxa"/>
            <w:vAlign w:val="center"/>
            <w:hideMark/>
          </w:tcPr>
          <w:p w14:paraId="355975B5" w14:textId="77777777" w:rsidR="00EE74F9" w:rsidRPr="002513B4" w:rsidRDefault="00EE74F9" w:rsidP="00A7362D">
            <w:pPr>
              <w:pStyle w:val="TableText"/>
              <w:keepNext/>
              <w:jc w:val="center"/>
              <w:rPr>
                <w:color w:val="555555"/>
                <w:sz w:val="18"/>
                <w:szCs w:val="18"/>
              </w:rPr>
            </w:pPr>
            <w:r w:rsidRPr="002513B4">
              <w:rPr>
                <w:sz w:val="18"/>
                <w:szCs w:val="18"/>
              </w:rPr>
              <w:t>12</w:t>
            </w:r>
          </w:p>
        </w:tc>
      </w:tr>
      <w:tr w:rsidR="00EE74F9" w:rsidRPr="002513B4" w14:paraId="3A913326" w14:textId="77777777" w:rsidTr="00A7362D">
        <w:trPr>
          <w:cantSplit/>
          <w:jc w:val="center"/>
        </w:trPr>
        <w:tc>
          <w:tcPr>
            <w:tcW w:w="3532" w:type="dxa"/>
            <w:vAlign w:val="center"/>
            <w:hideMark/>
          </w:tcPr>
          <w:p w14:paraId="1EB907DD" w14:textId="77777777" w:rsidR="00EE74F9" w:rsidRPr="002513B4" w:rsidRDefault="00EE74F9" w:rsidP="00A7362D">
            <w:pPr>
              <w:pStyle w:val="TableText"/>
              <w:keepNext/>
              <w:rPr>
                <w:color w:val="555555"/>
                <w:sz w:val="18"/>
                <w:szCs w:val="18"/>
              </w:rPr>
            </w:pPr>
            <w:r w:rsidRPr="002513B4">
              <w:rPr>
                <w:sz w:val="18"/>
                <w:szCs w:val="18"/>
              </w:rPr>
              <w:t>Some college</w:t>
            </w:r>
          </w:p>
        </w:tc>
        <w:tc>
          <w:tcPr>
            <w:tcW w:w="3690" w:type="dxa"/>
            <w:vAlign w:val="center"/>
            <w:hideMark/>
          </w:tcPr>
          <w:p w14:paraId="3B6F5EB6" w14:textId="77777777" w:rsidR="00EE74F9" w:rsidRPr="002513B4" w:rsidRDefault="00EE74F9" w:rsidP="00A7362D">
            <w:pPr>
              <w:pStyle w:val="TableText"/>
              <w:keepNext/>
              <w:jc w:val="center"/>
              <w:rPr>
                <w:color w:val="555555"/>
                <w:sz w:val="18"/>
                <w:szCs w:val="18"/>
              </w:rPr>
            </w:pPr>
            <w:r w:rsidRPr="002513B4">
              <w:rPr>
                <w:sz w:val="18"/>
                <w:szCs w:val="18"/>
              </w:rPr>
              <w:t>11</w:t>
            </w:r>
          </w:p>
        </w:tc>
      </w:tr>
      <w:tr w:rsidR="00EE74F9" w:rsidRPr="002513B4" w14:paraId="62C75EA4" w14:textId="77777777" w:rsidTr="00A7362D">
        <w:trPr>
          <w:cantSplit/>
          <w:jc w:val="center"/>
        </w:trPr>
        <w:tc>
          <w:tcPr>
            <w:tcW w:w="3532" w:type="dxa"/>
            <w:tcBorders>
              <w:bottom w:val="single" w:sz="8" w:space="0" w:color="auto"/>
            </w:tcBorders>
            <w:vAlign w:val="center"/>
            <w:hideMark/>
          </w:tcPr>
          <w:p w14:paraId="6F641A22" w14:textId="77777777" w:rsidR="00EE74F9" w:rsidRPr="002513B4" w:rsidRDefault="00EE74F9" w:rsidP="00A7362D">
            <w:pPr>
              <w:pStyle w:val="TableText"/>
              <w:keepNext/>
              <w:rPr>
                <w:color w:val="555555"/>
                <w:sz w:val="18"/>
                <w:szCs w:val="18"/>
              </w:rPr>
            </w:pPr>
            <w:r w:rsidRPr="002513B4">
              <w:rPr>
                <w:sz w:val="18"/>
                <w:szCs w:val="18"/>
              </w:rPr>
              <w:t>4-year grad or more</w:t>
            </w:r>
          </w:p>
        </w:tc>
        <w:tc>
          <w:tcPr>
            <w:tcW w:w="3690" w:type="dxa"/>
            <w:tcBorders>
              <w:bottom w:val="single" w:sz="8" w:space="0" w:color="auto"/>
            </w:tcBorders>
            <w:vAlign w:val="center"/>
            <w:hideMark/>
          </w:tcPr>
          <w:p w14:paraId="6E4B88AE" w14:textId="77777777" w:rsidR="00EE74F9" w:rsidRPr="002513B4" w:rsidRDefault="00EE74F9" w:rsidP="00A7362D">
            <w:pPr>
              <w:pStyle w:val="TableText"/>
              <w:keepNext/>
              <w:jc w:val="center"/>
              <w:rPr>
                <w:color w:val="555555"/>
                <w:sz w:val="18"/>
                <w:szCs w:val="18"/>
              </w:rPr>
            </w:pPr>
            <w:r w:rsidRPr="002513B4">
              <w:rPr>
                <w:sz w:val="18"/>
                <w:szCs w:val="18"/>
              </w:rPr>
              <w:t>14</w:t>
            </w:r>
          </w:p>
        </w:tc>
      </w:tr>
    </w:tbl>
    <w:p w14:paraId="158694EB" w14:textId="77777777" w:rsidR="00E11F38" w:rsidRPr="002513B4" w:rsidRDefault="00E11F38" w:rsidP="00AA2E69">
      <w:pPr>
        <w:pStyle w:val="Source"/>
        <w:rPr>
          <w:lang w:val="en-US"/>
        </w:rPr>
      </w:pPr>
    </w:p>
    <w:p w14:paraId="670BBEF4" w14:textId="5925C4CB" w:rsidR="00F21322" w:rsidRPr="002513B4" w:rsidRDefault="003B2F66" w:rsidP="003B2F66">
      <w:pPr>
        <w:pStyle w:val="Heading4"/>
        <w:rPr>
          <w:lang w:val="en-US"/>
        </w:rPr>
      </w:pPr>
      <w:r w:rsidRPr="002513B4">
        <w:rPr>
          <w:lang w:val="en-US"/>
        </w:rPr>
        <w:t>8.5.4</w:t>
      </w:r>
      <w:r w:rsidR="00D83713" w:rsidRPr="002513B4">
        <w:rPr>
          <w:lang w:val="en-US"/>
        </w:rPr>
        <w:tab/>
      </w:r>
      <w:r w:rsidR="00F21322" w:rsidRPr="002513B4">
        <w:rPr>
          <w:lang w:val="en-US"/>
        </w:rPr>
        <w:t>Providing Identified Data</w:t>
      </w:r>
    </w:p>
    <w:p w14:paraId="48A990B3" w14:textId="256CA1F5" w:rsidR="00F21322" w:rsidRPr="002513B4" w:rsidRDefault="00F21322" w:rsidP="00E11F38">
      <w:pPr>
        <w:pStyle w:val="BodyText"/>
        <w:rPr>
          <w:lang w:val="en-US"/>
        </w:rPr>
      </w:pPr>
      <w:r w:rsidRPr="002513B4">
        <w:rPr>
          <w:lang w:val="en-US"/>
        </w:rPr>
        <w:t xml:space="preserve">Survey vendors can provide responses linked to a sample member’s name and other identifying information </w:t>
      </w:r>
      <w:r w:rsidRPr="002513B4">
        <w:rPr>
          <w:b/>
          <w:bCs/>
          <w:lang w:val="en-US"/>
        </w:rPr>
        <w:t>only if</w:t>
      </w:r>
      <w:r w:rsidRPr="002513B4">
        <w:rPr>
          <w:lang w:val="en-US"/>
        </w:rPr>
        <w:t xml:space="preserve"> the sample member gives his or her consent on the Consent to Share Responses question. This includes providing this sample member’s responses to </w:t>
      </w:r>
      <w:r w:rsidRPr="002513B4">
        <w:rPr>
          <w:lang w:val="en-US"/>
        </w:rPr>
        <w:lastRenderedPageBreak/>
        <w:t xml:space="preserve">any “About You” questions that do not meet the threshold of 11 </w:t>
      </w:r>
      <w:r w:rsidR="00EB45A7" w:rsidRPr="002513B4">
        <w:rPr>
          <w:lang w:val="en-US"/>
        </w:rPr>
        <w:t xml:space="preserve">responses per response option </w:t>
      </w:r>
      <w:r w:rsidRPr="002513B4">
        <w:rPr>
          <w:lang w:val="en-US"/>
        </w:rPr>
        <w:t>that is required for reporting response data overall.</w:t>
      </w:r>
    </w:p>
    <w:p w14:paraId="2C20F8BF" w14:textId="77777777" w:rsidR="00F21322" w:rsidRPr="002513B4" w:rsidRDefault="00F21322" w:rsidP="00F21322">
      <w:pPr>
        <w:pStyle w:val="BodyText"/>
        <w:rPr>
          <w:lang w:val="en-US"/>
        </w:rPr>
      </w:pPr>
      <w:r w:rsidRPr="002513B4">
        <w:rPr>
          <w:lang w:val="en-US"/>
        </w:rPr>
        <w:t>In the absence of this explicit consent, only de-identified response data can be provided. In this case, patient-level data cannot be shared with anyone outside of the vendor’s organization, including client agencies.</w:t>
      </w:r>
    </w:p>
    <w:p w14:paraId="625AF425" w14:textId="4D987A30" w:rsidR="002C066E" w:rsidRPr="002513B4" w:rsidRDefault="002C066E" w:rsidP="002C066E">
      <w:pPr>
        <w:pStyle w:val="Heading3"/>
        <w:rPr>
          <w:lang w:val="en-US"/>
        </w:rPr>
      </w:pPr>
      <w:bookmarkStart w:id="281" w:name="_Toc217305604"/>
      <w:r w:rsidRPr="002513B4">
        <w:rPr>
          <w:lang w:val="en-US"/>
        </w:rPr>
        <w:t>8.6</w:t>
      </w:r>
      <w:r w:rsidRPr="002513B4">
        <w:rPr>
          <w:lang w:val="en-US"/>
        </w:rPr>
        <w:tab/>
        <w:t>Survey Vendor Analysis and Reporting of HHCAHPS Survey Data to HHA Clients</w:t>
      </w:r>
      <w:bookmarkEnd w:id="281"/>
    </w:p>
    <w:p w14:paraId="7F0143D6" w14:textId="5B56642E" w:rsidR="002C066E" w:rsidRPr="002513B4" w:rsidRDefault="002C066E" w:rsidP="00A2712F">
      <w:pPr>
        <w:pStyle w:val="BodyText"/>
      </w:pPr>
      <w:r w:rsidRPr="002513B4">
        <w:t xml:space="preserve">Survey vendors may analyze the data to provide their HHA clients with early or additional reports on their HHCAHPS Survey results. This section outlines the guidelines vendors must follow if they choose to provide such reports. These requirements apply to all types of reporting vendors offer to their </w:t>
      </w:r>
      <w:r w:rsidR="004D1C2C" w:rsidRPr="002513B4">
        <w:t>HHA clients</w:t>
      </w:r>
      <w:r w:rsidRPr="002513B4">
        <w:t xml:space="preserve">, including client dashboards. </w:t>
      </w:r>
    </w:p>
    <w:p w14:paraId="32D6580A" w14:textId="1B6EFFDC" w:rsidR="004D755A" w:rsidRPr="002513B4" w:rsidRDefault="004D755A" w:rsidP="000A13B8">
      <w:pPr>
        <w:pStyle w:val="Heading4"/>
        <w:rPr>
          <w:lang w:val="en-US"/>
        </w:rPr>
      </w:pPr>
      <w:r w:rsidRPr="002513B4">
        <w:rPr>
          <w:lang w:val="en-US"/>
        </w:rPr>
        <w:t>8.6.1</w:t>
      </w:r>
      <w:r w:rsidRPr="002513B4">
        <w:rPr>
          <w:lang w:val="en-US"/>
        </w:rPr>
        <w:tab/>
        <w:t>CMS-Provided Reports for HHAs</w:t>
      </w:r>
    </w:p>
    <w:p w14:paraId="6E947275" w14:textId="192A3560" w:rsidR="002C066E" w:rsidRPr="002513B4" w:rsidRDefault="002C066E" w:rsidP="00A2712F">
      <w:pPr>
        <w:pStyle w:val="BodyText"/>
      </w:pPr>
      <w:r w:rsidRPr="002513B4">
        <w:t xml:space="preserve">CMS-calculated results for the </w:t>
      </w:r>
      <w:r w:rsidR="004D755A" w:rsidRPr="002513B4">
        <w:t>HHCAHPS</w:t>
      </w:r>
      <w:r w:rsidRPr="002513B4">
        <w:t xml:space="preserve"> </w:t>
      </w:r>
      <w:r w:rsidR="004D1C2C" w:rsidRPr="002513B4">
        <w:t>S</w:t>
      </w:r>
      <w:r w:rsidRPr="002513B4">
        <w:t xml:space="preserve">urvey </w:t>
      </w:r>
      <w:r w:rsidR="004D755A" w:rsidRPr="002513B4">
        <w:t xml:space="preserve">and the publicly reported results CMS disseminates (see </w:t>
      </w:r>
      <w:r w:rsidR="004D755A" w:rsidRPr="002513B4">
        <w:rPr>
          <w:b/>
          <w:bCs/>
          <w:i/>
          <w:iCs/>
        </w:rPr>
        <w:t>Chapter 13</w:t>
      </w:r>
      <w:r w:rsidR="004D755A" w:rsidRPr="002513B4">
        <w:t xml:space="preserve">) </w:t>
      </w:r>
      <w:r w:rsidRPr="002513B4">
        <w:t xml:space="preserve">are the official survey results. Survey vendors </w:t>
      </w:r>
      <w:r w:rsidR="006206EA" w:rsidRPr="002513B4">
        <w:t xml:space="preserve">may </w:t>
      </w:r>
      <w:r w:rsidRPr="002513B4">
        <w:t xml:space="preserve">not have sufficient information to </w:t>
      </w:r>
      <w:r w:rsidR="004D1C2C" w:rsidRPr="002513B4">
        <w:t xml:space="preserve">fully </w:t>
      </w:r>
      <w:r w:rsidRPr="002513B4">
        <w:t xml:space="preserve">replicate CMS scoring. All reports to </w:t>
      </w:r>
      <w:r w:rsidR="004D755A" w:rsidRPr="002513B4">
        <w:t>HHA clients</w:t>
      </w:r>
      <w:r w:rsidRPr="002513B4">
        <w:t xml:space="preserve"> must include a disclaimer printed in a minimum 14-point font size on the first page: “[VENDOR] results are not official CMS results and are for [</w:t>
      </w:r>
      <w:r w:rsidR="004D755A" w:rsidRPr="002513B4">
        <w:t>HHA</w:t>
      </w:r>
      <w:r w:rsidRPr="002513B4">
        <w:t>]’s internal quality improvement purposes only. Official</w:t>
      </w:r>
      <w:r w:rsidR="004D755A" w:rsidRPr="002513B4">
        <w:t xml:space="preserve"> star </w:t>
      </w:r>
      <w:r w:rsidR="000A13B8" w:rsidRPr="002513B4">
        <w:t>ratings</w:t>
      </w:r>
      <w:r w:rsidR="004D755A" w:rsidRPr="002513B4">
        <w:t xml:space="preserve"> and other publicly available reporting of HHCAHPS Survey data </w:t>
      </w:r>
      <w:r w:rsidRPr="002513B4">
        <w:t>will be released from CMS</w:t>
      </w:r>
      <w:r w:rsidR="004D755A" w:rsidRPr="002513B4">
        <w:t xml:space="preserve"> on </w:t>
      </w:r>
      <w:r w:rsidR="000A13B8" w:rsidRPr="002513B4">
        <w:t>the Care Compare website</w:t>
      </w:r>
      <w:r w:rsidRPr="002513B4">
        <w:t xml:space="preserve">. There is no required minimum response rate for scoring.” </w:t>
      </w:r>
    </w:p>
    <w:p w14:paraId="1D9B8AF4" w14:textId="4D578B20" w:rsidR="000A13B8" w:rsidRPr="002513B4" w:rsidRDefault="000A13B8" w:rsidP="000A13B8">
      <w:pPr>
        <w:pStyle w:val="Heading4"/>
        <w:rPr>
          <w:lang w:val="en-US"/>
        </w:rPr>
      </w:pPr>
      <w:r w:rsidRPr="002513B4">
        <w:rPr>
          <w:lang w:val="en-US"/>
        </w:rPr>
        <w:t>8.6.2</w:t>
      </w:r>
      <w:r w:rsidRPr="002513B4">
        <w:rPr>
          <w:lang w:val="en-US"/>
        </w:rPr>
        <w:tab/>
      </w:r>
      <w:r w:rsidR="00290392" w:rsidRPr="002513B4">
        <w:rPr>
          <w:lang w:val="en-US"/>
        </w:rPr>
        <w:t xml:space="preserve">Additional </w:t>
      </w:r>
      <w:r w:rsidRPr="002513B4">
        <w:rPr>
          <w:lang w:val="en-US"/>
        </w:rPr>
        <w:t>Guidelines for Survey Vendor Client Reports</w:t>
      </w:r>
    </w:p>
    <w:p w14:paraId="57C5654A" w14:textId="63983CF2" w:rsidR="000A13B8" w:rsidRPr="002513B4" w:rsidRDefault="000A13B8" w:rsidP="00A2712F">
      <w:pPr>
        <w:pStyle w:val="BodyText"/>
      </w:pPr>
      <w:r w:rsidRPr="002513B4">
        <w:t>Survey vendors are not required to provide client level reports to the HHA clients.  However, vendor</w:t>
      </w:r>
      <w:r w:rsidR="004D1C2C" w:rsidRPr="002513B4">
        <w:t xml:space="preserve">s </w:t>
      </w:r>
      <w:r w:rsidRPr="002513B4">
        <w:t>who do wish to provide these unofficial reports for their clients must follow the guidelines</w:t>
      </w:r>
      <w:r w:rsidR="001317D0" w:rsidRPr="002513B4">
        <w:t xml:space="preserve"> below</w:t>
      </w:r>
      <w:r w:rsidRPr="002513B4">
        <w:t xml:space="preserve"> when developing their reports:</w:t>
      </w:r>
    </w:p>
    <w:p w14:paraId="4FF7ED50" w14:textId="10D16DE3" w:rsidR="002C066E" w:rsidRPr="002513B4" w:rsidRDefault="004D1C2C" w:rsidP="00D83713">
      <w:pPr>
        <w:pStyle w:val="ListBullet"/>
      </w:pPr>
      <w:r w:rsidRPr="002513B4">
        <w:t>Survey vendors</w:t>
      </w:r>
      <w:r w:rsidR="002C066E" w:rsidRPr="002513B4">
        <w:t xml:space="preserve"> must provide a clear explanation and context for the numbers in the report.  </w:t>
      </w:r>
    </w:p>
    <w:p w14:paraId="7B9DC4D7" w14:textId="737503AF" w:rsidR="002C066E" w:rsidRPr="002513B4" w:rsidRDefault="002C066E" w:rsidP="00D83713">
      <w:pPr>
        <w:pStyle w:val="ListBullet"/>
      </w:pPr>
      <w:r w:rsidRPr="002513B4">
        <w:t xml:space="preserve">Survey vendors may provide </w:t>
      </w:r>
      <w:r w:rsidR="000A13B8" w:rsidRPr="002513B4">
        <w:t>HHAs</w:t>
      </w:r>
      <w:r w:rsidRPr="002513B4">
        <w:t xml:space="preserve"> with</w:t>
      </w:r>
      <w:r w:rsidR="004D1C2C" w:rsidRPr="002513B4">
        <w:t xml:space="preserve"> aggregate</w:t>
      </w:r>
      <w:r w:rsidRPr="002513B4">
        <w:t xml:space="preserve"> survey data or information from their respondents </w:t>
      </w:r>
      <w:proofErr w:type="gramStart"/>
      <w:r w:rsidRPr="002513B4">
        <w:t>as long as</w:t>
      </w:r>
      <w:proofErr w:type="gramEnd"/>
      <w:r w:rsidR="004D1C2C" w:rsidRPr="002513B4">
        <w:t xml:space="preserve"> it meets the requirements described in </w:t>
      </w:r>
      <w:r w:rsidR="004D1C2C" w:rsidRPr="002513B4">
        <w:rPr>
          <w:b/>
          <w:bCs/>
          <w:i/>
          <w:iCs/>
        </w:rPr>
        <w:t>Section 8.5</w:t>
      </w:r>
      <w:r w:rsidR="009B749A" w:rsidRPr="002513B4">
        <w:t xml:space="preserve">. </w:t>
      </w:r>
      <w:r w:rsidRPr="002513B4">
        <w:t xml:space="preserve"> </w:t>
      </w:r>
    </w:p>
    <w:p w14:paraId="77DB11E3" w14:textId="77777777" w:rsidR="003B41FE" w:rsidRPr="002513B4" w:rsidRDefault="002C066E" w:rsidP="00D83713">
      <w:pPr>
        <w:pStyle w:val="ListBullet"/>
        <w:spacing w:after="120"/>
      </w:pPr>
      <w:r w:rsidRPr="002513B4">
        <w:t>Survey vendors must</w:t>
      </w:r>
      <w:r w:rsidR="003B41FE" w:rsidRPr="002513B4">
        <w:t xml:space="preserve"> submit an ERF and </w:t>
      </w:r>
      <w:r w:rsidRPr="002513B4">
        <w:t xml:space="preserve">have CMS approval to append data from the sample file to the survey data. </w:t>
      </w:r>
    </w:p>
    <w:p w14:paraId="6E956C75" w14:textId="143CB3EC" w:rsidR="002C066E" w:rsidRPr="002513B4" w:rsidRDefault="002C066E" w:rsidP="00546B84">
      <w:pPr>
        <w:pStyle w:val="ListBullet2"/>
        <w:spacing w:after="120"/>
      </w:pPr>
      <w:r w:rsidRPr="002513B4">
        <w:t>For example, if a survey vendor wants to report on survey responses, or survey response rate by the variables on or derived from the sample file (e.g., region, age), the vendor must submit</w:t>
      </w:r>
      <w:r w:rsidR="003B41FE" w:rsidRPr="002513B4">
        <w:t xml:space="preserve"> an ERF and include </w:t>
      </w:r>
      <w:r w:rsidRPr="002513B4">
        <w:t xml:space="preserve">a specific list of the items to be merged and an analytic plan that explains how the data will be used. The survey vendor may not append data until they receive written approval from CMS. CMS </w:t>
      </w:r>
      <w:r w:rsidRPr="002513B4">
        <w:lastRenderedPageBreak/>
        <w:t xml:space="preserve">will deny requests if appending data would allow identification of the sampled patient.  </w:t>
      </w:r>
    </w:p>
    <w:p w14:paraId="6F1D4809" w14:textId="4ADF2D3C" w:rsidR="00260E14" w:rsidRPr="002513B4" w:rsidRDefault="002C066E" w:rsidP="00D83713">
      <w:pPr>
        <w:pStyle w:val="ListBullet"/>
        <w:spacing w:after="120"/>
      </w:pPr>
      <w:r w:rsidRPr="002513B4">
        <w:t>Survey vendors must not provide</w:t>
      </w:r>
      <w:r w:rsidR="004C417A" w:rsidRPr="002513B4">
        <w:t xml:space="preserve"> HHA clients</w:t>
      </w:r>
      <w:r w:rsidRPr="002513B4">
        <w:t xml:space="preserve"> with patient-identifying information</w:t>
      </w:r>
      <w:r w:rsidR="004C631F" w:rsidRPr="002513B4">
        <w:t xml:space="preserve"> in the vendor’s HHCAHPS Survey summary report as this </w:t>
      </w:r>
      <w:r w:rsidR="00260E14" w:rsidRPr="002513B4">
        <w:t>w</w:t>
      </w:r>
      <w:r w:rsidRPr="002513B4">
        <w:t xml:space="preserve">ould violate the guarantee of confidentiality that CMS provides all survey respondents.  </w:t>
      </w:r>
      <w:r w:rsidR="00AF29C4" w:rsidRPr="002513B4">
        <w:t xml:space="preserve">See </w:t>
      </w:r>
      <w:r w:rsidR="00AF29C4" w:rsidRPr="002513B4">
        <w:rPr>
          <w:b/>
          <w:bCs/>
          <w:i/>
          <w:iCs/>
        </w:rPr>
        <w:t>Section 8.5</w:t>
      </w:r>
      <w:r w:rsidR="00AF29C4" w:rsidRPr="002513B4">
        <w:t xml:space="preserve"> for </w:t>
      </w:r>
      <w:r w:rsidR="00220117" w:rsidRPr="002513B4">
        <w:t xml:space="preserve">patient confidentiality </w:t>
      </w:r>
      <w:r w:rsidR="00AF29C4" w:rsidRPr="002513B4">
        <w:t xml:space="preserve">guidelines </w:t>
      </w:r>
      <w:r w:rsidR="00220117" w:rsidRPr="002513B4">
        <w:t>vendors must adhere to when providing</w:t>
      </w:r>
      <w:r w:rsidR="00AF29C4" w:rsidRPr="002513B4">
        <w:t xml:space="preserve"> HHCAHPS Survey data</w:t>
      </w:r>
      <w:r w:rsidR="00220117" w:rsidRPr="002513B4">
        <w:t xml:space="preserve"> back to clients.</w:t>
      </w:r>
    </w:p>
    <w:p w14:paraId="3387FB67" w14:textId="77777777" w:rsidR="00260E14" w:rsidRPr="002513B4" w:rsidRDefault="00260E14" w:rsidP="00546B84">
      <w:pPr>
        <w:pStyle w:val="ListBullet2"/>
        <w:spacing w:after="120"/>
      </w:pPr>
      <w:r w:rsidRPr="002513B4">
        <w:t xml:space="preserve">If the survey respondent grants permission for the vendor to link their responses to their identifying information via an affirmative response to the Consent to Share Reponses question, the vendor can provide these data to their HHA client via a report or mechanism separate from the aggregate, summary report. </w:t>
      </w:r>
    </w:p>
    <w:p w14:paraId="4BEAB3A1" w14:textId="5ABF4A8E" w:rsidR="0023510E" w:rsidRPr="002513B4" w:rsidRDefault="002C066E" w:rsidP="0023510E">
      <w:pPr>
        <w:pStyle w:val="ListBullet"/>
      </w:pPr>
      <w:r w:rsidRPr="002513B4">
        <w:t xml:space="preserve">Survey vendors should contact the </w:t>
      </w:r>
      <w:r w:rsidR="007B5EA6" w:rsidRPr="002513B4">
        <w:t>HHCAHPS</w:t>
      </w:r>
      <w:r w:rsidR="00260E14" w:rsidRPr="002513B4">
        <w:t xml:space="preserve"> Survey </w:t>
      </w:r>
      <w:r w:rsidR="007B5EA6" w:rsidRPr="002513B4">
        <w:t>Coordination Team (</w:t>
      </w:r>
      <w:hyperlink r:id="rId108" w:history="1">
        <w:r w:rsidR="007B5EA6" w:rsidRPr="002513B4">
          <w:rPr>
            <w:rStyle w:val="Hyperlink"/>
            <w:lang w:eastAsia="x-none"/>
          </w:rPr>
          <w:t>hhcahps@rti.org</w:t>
        </w:r>
      </w:hyperlink>
      <w:r w:rsidR="007B5EA6" w:rsidRPr="002513B4">
        <w:t xml:space="preserve">) </w:t>
      </w:r>
      <w:r w:rsidRPr="002513B4">
        <w:t>for additional guidance if they are not clear as to whether certain types of survey response data can be shared with a</w:t>
      </w:r>
      <w:r w:rsidR="007B5EA6" w:rsidRPr="002513B4">
        <w:t>n HHA client</w:t>
      </w:r>
      <w:r w:rsidRPr="002513B4">
        <w:t xml:space="preserve">. </w:t>
      </w:r>
    </w:p>
    <w:p w14:paraId="02D8EE28" w14:textId="77777777" w:rsidR="00471473" w:rsidRPr="002513B4" w:rsidRDefault="00471473" w:rsidP="00AF6BE4">
      <w:pPr>
        <w:pStyle w:val="Heading2"/>
        <w:rPr>
          <w:lang w:val="en-US"/>
        </w:rPr>
        <w:sectPr w:rsidR="00471473" w:rsidRPr="002513B4" w:rsidSect="007F437C">
          <w:headerReference w:type="default" r:id="rId109"/>
          <w:headerReference w:type="first" r:id="rId110"/>
          <w:pgSz w:w="12240" w:h="15840" w:code="1"/>
          <w:pgMar w:top="1440" w:right="1440" w:bottom="1440" w:left="1440" w:header="720" w:footer="720" w:gutter="0"/>
          <w:cols w:space="720"/>
          <w:titlePg/>
          <w:docGrid w:linePitch="272"/>
        </w:sectPr>
      </w:pPr>
      <w:bookmarkStart w:id="282" w:name="_Toc224984444"/>
      <w:bookmarkStart w:id="283" w:name="_Toc343765438"/>
      <w:bookmarkStart w:id="284" w:name="_Toc402776510"/>
    </w:p>
    <w:p w14:paraId="15F460C9" w14:textId="7B43E0AC" w:rsidR="00EE74F9" w:rsidRPr="002513B4" w:rsidRDefault="009F27F5" w:rsidP="00AF6BE4">
      <w:pPr>
        <w:pStyle w:val="Heading2"/>
        <w:rPr>
          <w:lang w:val="en-US"/>
        </w:rPr>
      </w:pPr>
      <w:bookmarkStart w:id="285" w:name="_Toc217305605"/>
      <w:r w:rsidRPr="002513B4">
        <w:rPr>
          <w:lang w:val="en-US"/>
        </w:rPr>
        <w:lastRenderedPageBreak/>
        <w:t>Chapter</w:t>
      </w:r>
      <w:r w:rsidR="003B2F66" w:rsidRPr="002513B4">
        <w:rPr>
          <w:lang w:val="en-US"/>
        </w:rPr>
        <w:t xml:space="preserve"> 9:</w:t>
      </w:r>
      <w:r w:rsidR="00EE74F9" w:rsidRPr="002513B4">
        <w:rPr>
          <w:lang w:val="en-US"/>
        </w:rPr>
        <w:t xml:space="preserve"> Data Processing and Coding</w:t>
      </w:r>
      <w:bookmarkEnd w:id="282"/>
      <w:bookmarkEnd w:id="283"/>
      <w:bookmarkEnd w:id="284"/>
      <w:bookmarkEnd w:id="285"/>
    </w:p>
    <w:tbl>
      <w:tblPr>
        <w:tblStyle w:val="TableGrid"/>
        <w:tblpPr w:leftFromText="187" w:rightFromText="187"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3623A2" w:rsidRPr="002513B4" w14:paraId="6565DEEF" w14:textId="77777777" w:rsidTr="003623A2">
        <w:tc>
          <w:tcPr>
            <w:tcW w:w="5035" w:type="dxa"/>
            <w:shd w:val="clear" w:color="auto" w:fill="F79646"/>
          </w:tcPr>
          <w:p w14:paraId="110E1C71" w14:textId="735FAD38" w:rsidR="003623A2" w:rsidRPr="002513B4" w:rsidRDefault="0023510E" w:rsidP="003623A2">
            <w:pPr>
              <w:pStyle w:val="BodyText"/>
              <w:rPr>
                <w:lang w:val="en-US"/>
              </w:rPr>
            </w:pPr>
            <w:bookmarkStart w:id="286" w:name="_Toc251318174"/>
            <w:bookmarkStart w:id="287" w:name="_Toc407633099"/>
            <w:bookmarkStart w:id="288" w:name="_Toc24713376"/>
            <w:bookmarkStart w:id="289" w:name="_Toc407633102"/>
            <w:r>
              <w:rPr>
                <w:lang w:val="en-US"/>
              </w:rPr>
              <w:t> </w:t>
            </w:r>
          </w:p>
        </w:tc>
      </w:tr>
      <w:tr w:rsidR="003623A2" w:rsidRPr="002513B4" w14:paraId="2C32F5ED" w14:textId="77777777" w:rsidTr="003623A2">
        <w:tc>
          <w:tcPr>
            <w:tcW w:w="5035" w:type="dxa"/>
          </w:tcPr>
          <w:p w14:paraId="10266665" w14:textId="7D98BB20" w:rsidR="003623A2" w:rsidRPr="002513B4" w:rsidRDefault="003623A2" w:rsidP="003623A2">
            <w:pPr>
              <w:rPr>
                <w:i/>
                <w:iCs/>
                <w:caps/>
                <w:color w:val="1F497D"/>
                <w:sz w:val="26"/>
                <w:szCs w:val="26"/>
              </w:rPr>
            </w:pPr>
            <w:r w:rsidRPr="002513B4">
              <w:rPr>
                <w:i/>
                <w:iCs/>
                <w:color w:val="1F497D"/>
              </w:rPr>
              <w:t xml:space="preserve">All references to HHCAHPS Survey instrument and corresponding question numbers in this chapter reflect the revised HHCAHPS Survey instrument CMS plans to roll out with the </w:t>
            </w:r>
            <w:r w:rsidRPr="002513B4">
              <w:rPr>
                <w:b/>
                <w:bCs/>
                <w:i/>
                <w:iCs/>
                <w:color w:val="1F497D"/>
              </w:rPr>
              <w:t>April</w:t>
            </w:r>
            <w:r w:rsidR="001B1C8D" w:rsidRPr="002513B4">
              <w:rPr>
                <w:b/>
                <w:bCs/>
                <w:i/>
                <w:iCs/>
                <w:color w:val="1F497D"/>
              </w:rPr>
              <w:t> </w:t>
            </w:r>
            <w:r w:rsidRPr="002513B4">
              <w:rPr>
                <w:b/>
                <w:bCs/>
                <w:i/>
                <w:iCs/>
                <w:color w:val="1F497D"/>
              </w:rPr>
              <w:t>2026</w:t>
            </w:r>
            <w:r w:rsidRPr="002513B4">
              <w:rPr>
                <w:i/>
                <w:iCs/>
                <w:color w:val="1F497D"/>
              </w:rPr>
              <w:t xml:space="preserve"> sample month.</w:t>
            </w:r>
          </w:p>
        </w:tc>
      </w:tr>
    </w:tbl>
    <w:p w14:paraId="5B31CCA5" w14:textId="2B58F009" w:rsidR="00EE74F9" w:rsidRPr="002513B4" w:rsidRDefault="009D79E3" w:rsidP="00EE74F9">
      <w:pPr>
        <w:pStyle w:val="Heading3"/>
        <w:rPr>
          <w:lang w:val="en-US"/>
        </w:rPr>
      </w:pPr>
      <w:bookmarkStart w:id="290" w:name="_Toc217305606"/>
      <w:r w:rsidRPr="002513B4">
        <w:rPr>
          <w:lang w:val="en-US"/>
        </w:rPr>
        <w:t>9.1</w:t>
      </w:r>
      <w:r w:rsidRPr="002513B4">
        <w:rPr>
          <w:lang w:val="en-US"/>
        </w:rPr>
        <w:tab/>
      </w:r>
      <w:r w:rsidR="00EE74F9" w:rsidRPr="002513B4">
        <w:rPr>
          <w:lang w:val="en-US"/>
        </w:rPr>
        <w:t>Overview</w:t>
      </w:r>
      <w:bookmarkEnd w:id="286"/>
      <w:bookmarkEnd w:id="287"/>
      <w:bookmarkEnd w:id="288"/>
      <w:bookmarkEnd w:id="290"/>
    </w:p>
    <w:p w14:paraId="1D1E9F20" w14:textId="75754541" w:rsidR="00ED78A6" w:rsidRPr="002513B4" w:rsidRDefault="00EE74F9" w:rsidP="00EE74F9">
      <w:pPr>
        <w:pStyle w:val="BodyText"/>
        <w:rPr>
          <w:lang w:val="en-US"/>
        </w:rPr>
      </w:pPr>
      <w:r w:rsidRPr="002513B4">
        <w:rPr>
          <w:lang w:val="en-US"/>
        </w:rPr>
        <w:t xml:space="preserve">This chapter describes decision rules related to processing and coding returned mail survey questionnaires, </w:t>
      </w:r>
      <w:r w:rsidRPr="002513B4">
        <w:rPr>
          <w:rFonts w:eastAsia="Times New Roman"/>
          <w:szCs w:val="24"/>
          <w:lang w:val="en-US"/>
        </w:rPr>
        <w:t>assignment</w:t>
      </w:r>
      <w:r w:rsidRPr="002513B4">
        <w:rPr>
          <w:lang w:val="en-US"/>
        </w:rPr>
        <w:t xml:space="preserve"> of survey disposition codes, and quality control measures. This chapter also provides procedures for determining whether a returned survey meets the definition of a completed survey and information about how survey response rates are calculated.</w:t>
      </w:r>
    </w:p>
    <w:p w14:paraId="1E60D16F" w14:textId="27696F06" w:rsidR="00EE74F9" w:rsidRPr="002513B4" w:rsidRDefault="009D79E3" w:rsidP="00EE74F9">
      <w:pPr>
        <w:pStyle w:val="Heading3"/>
        <w:rPr>
          <w:lang w:val="en-US"/>
        </w:rPr>
      </w:pPr>
      <w:bookmarkStart w:id="291" w:name="_Toc224984447"/>
      <w:bookmarkStart w:id="292" w:name="_Toc251318176"/>
      <w:bookmarkStart w:id="293" w:name="_Toc407633101"/>
      <w:bookmarkStart w:id="294" w:name="_Toc24713377"/>
      <w:bookmarkStart w:id="295" w:name="_Toc217305607"/>
      <w:r w:rsidRPr="002513B4">
        <w:rPr>
          <w:lang w:val="en-US"/>
        </w:rPr>
        <w:t>9.2</w:t>
      </w:r>
      <w:r w:rsidRPr="002513B4">
        <w:rPr>
          <w:lang w:val="en-US"/>
        </w:rPr>
        <w:tab/>
      </w:r>
      <w:r w:rsidR="00EE74F9" w:rsidRPr="002513B4">
        <w:rPr>
          <w:lang w:val="en-US"/>
        </w:rPr>
        <w:t>Data Processing Decision Rules and Coding Guidelines</w:t>
      </w:r>
      <w:bookmarkEnd w:id="291"/>
      <w:bookmarkEnd w:id="292"/>
      <w:bookmarkEnd w:id="293"/>
      <w:bookmarkEnd w:id="294"/>
      <w:bookmarkEnd w:id="295"/>
    </w:p>
    <w:p w14:paraId="034F46DA" w14:textId="25A11601" w:rsidR="00EE74F9" w:rsidRPr="002513B4" w:rsidRDefault="00941258" w:rsidP="00EE74F9">
      <w:pPr>
        <w:pStyle w:val="BodyText"/>
        <w:rPr>
          <w:lang w:val="en-US"/>
        </w:rPr>
      </w:pPr>
      <w:r w:rsidRPr="002513B4">
        <w:rPr>
          <w:lang w:val="en-US"/>
        </w:rPr>
        <w:t>We provide g</w:t>
      </w:r>
      <w:r w:rsidR="00EE74F9" w:rsidRPr="002513B4">
        <w:rPr>
          <w:lang w:val="en-US"/>
        </w:rPr>
        <w:t>uidelines and procedures for handling ambiguous, missing, or inconsistent survey responses from returned mail questionnaires below. These guidelines should be followed regardless of whether the vendor is using optical scanning or data entry to enter data from completed questionnaires.</w:t>
      </w:r>
    </w:p>
    <w:p w14:paraId="135DBD2A" w14:textId="09B18BF1" w:rsidR="00EE74F9" w:rsidRPr="002513B4" w:rsidRDefault="009D79E3" w:rsidP="00EE74F9">
      <w:pPr>
        <w:pStyle w:val="Heading4"/>
        <w:rPr>
          <w:lang w:val="en-US"/>
        </w:rPr>
      </w:pPr>
      <w:r w:rsidRPr="002513B4">
        <w:rPr>
          <w:lang w:val="en-US"/>
        </w:rPr>
        <w:t>9.2.1</w:t>
      </w:r>
      <w:r w:rsidR="00D83713" w:rsidRPr="002513B4">
        <w:rPr>
          <w:lang w:val="en-US"/>
        </w:rPr>
        <w:tab/>
      </w:r>
      <w:r w:rsidR="00EE74F9" w:rsidRPr="002513B4">
        <w:rPr>
          <w:lang w:val="en-US"/>
        </w:rPr>
        <w:t>Mail Surveys</w:t>
      </w:r>
    </w:p>
    <w:p w14:paraId="0E2EAEEF" w14:textId="77777777" w:rsidR="00EE74F9" w:rsidRPr="002513B4" w:rsidRDefault="00EE74F9" w:rsidP="00EE74F9">
      <w:pPr>
        <w:pStyle w:val="BodyText"/>
        <w:rPr>
          <w:lang w:val="en-US"/>
        </w:rPr>
      </w:pPr>
      <w:r w:rsidRPr="002513B4">
        <w:rPr>
          <w:lang w:val="en-US"/>
        </w:rPr>
        <w:t xml:space="preserve">In mail surveys some respondents may choose not to answer </w:t>
      </w:r>
      <w:proofErr w:type="gramStart"/>
      <w:r w:rsidRPr="002513B4">
        <w:rPr>
          <w:lang w:val="en-US"/>
        </w:rPr>
        <w:t>particular questions</w:t>
      </w:r>
      <w:proofErr w:type="gramEnd"/>
      <w:r w:rsidRPr="002513B4">
        <w:rPr>
          <w:lang w:val="en-US"/>
        </w:rPr>
        <w:t>, and others may not clearly mark their answer choices. Use the following rules to handle missing or ambiguous responses when processing completed questionnaires.</w:t>
      </w:r>
    </w:p>
    <w:p w14:paraId="2FF9B38F" w14:textId="77777777" w:rsidR="00EE74F9" w:rsidRPr="002513B4" w:rsidRDefault="00EE74F9" w:rsidP="00EE74F9">
      <w:pPr>
        <w:pStyle w:val="ListBullet"/>
      </w:pPr>
      <w:r w:rsidRPr="002513B4">
        <w:t>If a response mark falls between two answer choices but is clearly closer to one answer choice than to another, select the response that is closest to the marked response.</w:t>
      </w:r>
    </w:p>
    <w:p w14:paraId="196A3949" w14:textId="0899ACF8" w:rsidR="00EE74F9" w:rsidRPr="002513B4" w:rsidRDefault="00EE74F9" w:rsidP="00EE74F9">
      <w:pPr>
        <w:pStyle w:val="ListBullet"/>
      </w:pPr>
      <w:r w:rsidRPr="002513B4">
        <w:t xml:space="preserve">If two responses are </w:t>
      </w:r>
      <w:r w:rsidR="00D44498" w:rsidRPr="002513B4">
        <w:t xml:space="preserve">marked </w:t>
      </w:r>
      <w:r w:rsidRPr="002513B4">
        <w:t xml:space="preserve">for the same question, select the one that appears darkest. If it is not possible to </w:t>
      </w:r>
      <w:proofErr w:type="gramStart"/>
      <w:r w:rsidRPr="002513B4">
        <w:t>make a determination</w:t>
      </w:r>
      <w:proofErr w:type="gramEnd"/>
      <w:r w:rsidRPr="002513B4">
        <w:t>, leave the response blank and code as “</w:t>
      </w:r>
      <w:r w:rsidR="00C23A73" w:rsidRPr="002513B4">
        <w:t>M</w:t>
      </w:r>
      <w:r w:rsidRPr="002513B4">
        <w:t xml:space="preserve">” </w:t>
      </w:r>
      <w:r w:rsidR="00A30125" w:rsidRPr="002513B4">
        <w:t>(</w:t>
      </w:r>
      <w:r w:rsidR="009A66B5" w:rsidRPr="002513B4">
        <w:t>Missing</w:t>
      </w:r>
      <w:r w:rsidR="00A30125" w:rsidRPr="002513B4">
        <w:t xml:space="preserve">) </w:t>
      </w:r>
      <w:r w:rsidRPr="002513B4">
        <w:t>rather than guess.</w:t>
      </w:r>
    </w:p>
    <w:p w14:paraId="1B24722C" w14:textId="6A3978A6" w:rsidR="00EE74F9" w:rsidRPr="002513B4" w:rsidRDefault="00EE74F9" w:rsidP="00EE74F9">
      <w:pPr>
        <w:pStyle w:val="ListBullet"/>
      </w:pPr>
      <w:r w:rsidRPr="002513B4">
        <w:t>If a mark is between two answer choices but is not clearly closer to one answer choice, code as “</w:t>
      </w:r>
      <w:r w:rsidR="00C23A73" w:rsidRPr="002513B4">
        <w:t>M</w:t>
      </w:r>
      <w:r w:rsidRPr="002513B4">
        <w:t>”</w:t>
      </w:r>
      <w:r w:rsidR="00A30125" w:rsidRPr="002513B4">
        <w:t xml:space="preserve"> (</w:t>
      </w:r>
      <w:r w:rsidR="009A66B5" w:rsidRPr="002513B4">
        <w:t>Missing</w:t>
      </w:r>
      <w:r w:rsidR="00A30125" w:rsidRPr="002513B4">
        <w:t>).</w:t>
      </w:r>
    </w:p>
    <w:p w14:paraId="603CD4DA" w14:textId="63B5F78E" w:rsidR="00EE74F9" w:rsidRPr="002513B4" w:rsidRDefault="00EE74F9" w:rsidP="00EE74F9">
      <w:pPr>
        <w:pStyle w:val="ListBullet"/>
      </w:pPr>
      <w:r w:rsidRPr="002513B4">
        <w:t xml:space="preserve">The only survey items in the HHCAHPS Survey where two or more answers are acceptable are Questions </w:t>
      </w:r>
      <w:r w:rsidR="009A66B5" w:rsidRPr="002513B4">
        <w:t>22</w:t>
      </w:r>
      <w:r w:rsidRPr="002513B4">
        <w:t xml:space="preserve"> and </w:t>
      </w:r>
      <w:r w:rsidR="009A66B5" w:rsidRPr="002513B4">
        <w:t>25</w:t>
      </w:r>
      <w:r w:rsidRPr="002513B4">
        <w:t xml:space="preserve">, which ask the sample member to check all answer choices that are applicable to him or her. For </w:t>
      </w:r>
      <w:proofErr w:type="gramStart"/>
      <w:r w:rsidRPr="002513B4">
        <w:t>both of these</w:t>
      </w:r>
      <w:proofErr w:type="gramEnd"/>
      <w:r w:rsidRPr="002513B4">
        <w:t xml:space="preserve"> questions, enter responses for all of the categories that the respondent marked.</w:t>
      </w:r>
    </w:p>
    <w:p w14:paraId="18BEAB5B" w14:textId="77777777" w:rsidR="00EE74F9" w:rsidRPr="002513B4" w:rsidRDefault="00EE74F9" w:rsidP="00EE74F9">
      <w:pPr>
        <w:pStyle w:val="ListBullet"/>
      </w:pPr>
      <w:r w:rsidRPr="002513B4">
        <w:t>If a response is missing, leave the response blank and code it as “Missing.”</w:t>
      </w:r>
    </w:p>
    <w:p w14:paraId="65C074B5" w14:textId="20AF6463" w:rsidR="00EE74F9" w:rsidRPr="002513B4" w:rsidRDefault="009D79E3" w:rsidP="00EE74F9">
      <w:pPr>
        <w:pStyle w:val="Heading4"/>
        <w:rPr>
          <w:lang w:val="en-US"/>
        </w:rPr>
      </w:pPr>
      <w:r w:rsidRPr="002513B4">
        <w:rPr>
          <w:lang w:val="en-US"/>
        </w:rPr>
        <w:lastRenderedPageBreak/>
        <w:t>9.2.2</w:t>
      </w:r>
      <w:r w:rsidR="00D83713" w:rsidRPr="002513B4">
        <w:rPr>
          <w:lang w:val="en-US"/>
        </w:rPr>
        <w:tab/>
      </w:r>
      <w:r w:rsidRPr="002513B4">
        <w:rPr>
          <w:lang w:val="en-US"/>
        </w:rPr>
        <w:t xml:space="preserve"> </w:t>
      </w:r>
      <w:r w:rsidR="00EE74F9" w:rsidRPr="002513B4">
        <w:rPr>
          <w:lang w:val="en-US"/>
        </w:rPr>
        <w:t>Coding Skip Patterns</w:t>
      </w:r>
    </w:p>
    <w:p w14:paraId="234A3BDE" w14:textId="77777777" w:rsidR="00EE74F9" w:rsidRPr="002513B4" w:rsidRDefault="00EE74F9" w:rsidP="00EE74F9">
      <w:pPr>
        <w:pStyle w:val="BodyText"/>
        <w:rPr>
          <w:lang w:val="en-US"/>
        </w:rPr>
      </w:pPr>
      <w:r w:rsidRPr="002513B4">
        <w:rPr>
          <w:lang w:val="en-US"/>
        </w:rPr>
        <w:t xml:space="preserve">Some of the questions included in the HHCAHPS Survey instrument are “screening” questions—that is, they are designed to determine whether one or more follow-up questions about the same topic are applicable to the respondent. The respondent is directed to the next applicable question by a “skip” instruction printed beside the answer choice that </w:t>
      </w:r>
      <w:r w:rsidR="00F46901" w:rsidRPr="002513B4">
        <w:rPr>
          <w:lang w:val="en-US"/>
        </w:rPr>
        <w:t>they mark</w:t>
      </w:r>
      <w:r w:rsidRPr="002513B4">
        <w:rPr>
          <w:lang w:val="en-US"/>
        </w:rPr>
        <w:t>.</w:t>
      </w:r>
    </w:p>
    <w:p w14:paraId="71E76DA4" w14:textId="77777777" w:rsidR="00EE74F9" w:rsidRPr="002513B4" w:rsidRDefault="00EE74F9" w:rsidP="00EE74F9">
      <w:pPr>
        <w:pStyle w:val="BodyText"/>
        <w:rPr>
          <w:lang w:val="en-US"/>
        </w:rPr>
      </w:pPr>
      <w:r w:rsidRPr="002513B4">
        <w:rPr>
          <w:lang w:val="en-US"/>
        </w:rPr>
        <w:t xml:space="preserve">In mail surveys, some respondents may answer the screening question but leave applicable follow-up questions blank. In other cases, some respondents will mark an answer to follow-up questions that are not applicable to them (based on the answer to the screening question). Yet in other cases, some respondents will answer both the screening and follow-up questions with responses that contradict each other. Use the following rules for completed </w:t>
      </w:r>
      <w:r w:rsidR="00C80959" w:rsidRPr="002513B4">
        <w:rPr>
          <w:lang w:val="en-US"/>
        </w:rPr>
        <w:t>q</w:t>
      </w:r>
      <w:r w:rsidRPr="002513B4">
        <w:rPr>
          <w:lang w:val="en-US"/>
        </w:rPr>
        <w:t>uestionnaires.</w:t>
      </w:r>
    </w:p>
    <w:p w14:paraId="56661D0B" w14:textId="51C0D2E3" w:rsidR="00EE74F9" w:rsidRPr="002513B4" w:rsidRDefault="009D79E3" w:rsidP="00EE74F9">
      <w:pPr>
        <w:pStyle w:val="Heading5"/>
      </w:pPr>
      <w:r w:rsidRPr="002513B4">
        <w:t>9.2.2.1</w:t>
      </w:r>
      <w:r w:rsidR="00D83713" w:rsidRPr="002513B4">
        <w:tab/>
      </w:r>
      <w:r w:rsidR="00EE74F9" w:rsidRPr="002513B4">
        <w:t>Decision Rules for Coding Screening Questions (Qs. 1, 1</w:t>
      </w:r>
      <w:r w:rsidR="00DE2270" w:rsidRPr="002513B4">
        <w:t>5</w:t>
      </w:r>
      <w:r w:rsidR="00EE74F9" w:rsidRPr="002513B4">
        <w:t xml:space="preserve">, and </w:t>
      </w:r>
      <w:r w:rsidR="00DE2270" w:rsidRPr="002513B4">
        <w:t>24</w:t>
      </w:r>
      <w:r w:rsidR="00C23A73" w:rsidRPr="002513B4">
        <w:t>*</w:t>
      </w:r>
      <w:r w:rsidR="00EE74F9" w:rsidRPr="002513B4">
        <w:t>)</w:t>
      </w:r>
    </w:p>
    <w:p w14:paraId="26752190" w14:textId="2EBBB1CE" w:rsidR="00C23A73" w:rsidRPr="002513B4" w:rsidRDefault="00C23A73" w:rsidP="00C23A73">
      <w:pPr>
        <w:pStyle w:val="BodyText"/>
        <w:rPr>
          <w:lang w:val="en-US"/>
        </w:rPr>
      </w:pPr>
      <w:r w:rsidRPr="002513B4">
        <w:rPr>
          <w:lang w:val="en-US"/>
        </w:rPr>
        <w:t>*Please note: Question </w:t>
      </w:r>
      <w:r w:rsidR="00DE2270" w:rsidRPr="002513B4">
        <w:rPr>
          <w:lang w:val="en-US"/>
        </w:rPr>
        <w:t>24</w:t>
      </w:r>
      <w:r w:rsidRPr="002513B4">
        <w:rPr>
          <w:lang w:val="en-US"/>
        </w:rPr>
        <w:t xml:space="preserve"> is included in the mail survey only.</w:t>
      </w:r>
    </w:p>
    <w:p w14:paraId="769560BC" w14:textId="77777777" w:rsidR="00EE74F9" w:rsidRPr="002513B4" w:rsidRDefault="00EE74F9" w:rsidP="00EE74F9">
      <w:pPr>
        <w:pStyle w:val="ListBullet"/>
      </w:pPr>
      <w:r w:rsidRPr="002513B4">
        <w:t>Key or scan the response provided by the respondent.</w:t>
      </w:r>
    </w:p>
    <w:p w14:paraId="5BACFAD1" w14:textId="77777777" w:rsidR="00EE74F9" w:rsidRPr="002513B4" w:rsidRDefault="00EE74F9" w:rsidP="00EE74F9">
      <w:pPr>
        <w:pStyle w:val="ListBullet"/>
      </w:pPr>
      <w:r w:rsidRPr="002513B4">
        <w:t>If the screener question is left blank, code it as “Missing”</w:t>
      </w:r>
      <w:r w:rsidR="00A30125" w:rsidRPr="002513B4">
        <w:t xml:space="preserve"> (code “M”).</w:t>
      </w:r>
    </w:p>
    <w:p w14:paraId="161EFAC5" w14:textId="71A0FE8E" w:rsidR="00EE74F9" w:rsidRPr="002513B4" w:rsidRDefault="00EE74F9" w:rsidP="00EE74F9">
      <w:pPr>
        <w:pStyle w:val="ListBullet"/>
      </w:pPr>
      <w:r w:rsidRPr="002513B4">
        <w:t xml:space="preserve">If the answer to Q1 on the </w:t>
      </w:r>
      <w:r w:rsidRPr="002513B4">
        <w:rPr>
          <w:b/>
          <w:bCs/>
        </w:rPr>
        <w:t>mail survey</w:t>
      </w:r>
      <w:r w:rsidRPr="002513B4">
        <w:t xml:space="preserve"> is “No,” which implies that the respondent is ineligible, but some or </w:t>
      </w:r>
      <w:proofErr w:type="gramStart"/>
      <w:r w:rsidRPr="002513B4">
        <w:t>all of</w:t>
      </w:r>
      <w:proofErr w:type="gramEnd"/>
      <w:r w:rsidRPr="002513B4">
        <w:t xml:space="preserve"> the rest of the questions in the survey have been answered, key or scan all responses given, including the “</w:t>
      </w:r>
      <w:r w:rsidR="00C23A73" w:rsidRPr="002513B4">
        <w:t>N</w:t>
      </w:r>
      <w:r w:rsidRPr="002513B4">
        <w:t xml:space="preserve">o” response to Q1. If the questionnaire meets the completeness criteria, code the </w:t>
      </w:r>
      <w:r w:rsidR="00DE2270" w:rsidRPr="002513B4">
        <w:t xml:space="preserve">case </w:t>
      </w:r>
      <w:r w:rsidRPr="002513B4">
        <w:t xml:space="preserve">as </w:t>
      </w:r>
      <w:r w:rsidR="00C23A73" w:rsidRPr="002513B4">
        <w:t>110 – C</w:t>
      </w:r>
      <w:r w:rsidRPr="002513B4">
        <w:t>ompleted</w:t>
      </w:r>
      <w:r w:rsidR="00C23A73" w:rsidRPr="002513B4">
        <w:t xml:space="preserve"> Mail</w:t>
      </w:r>
      <w:r w:rsidRPr="002513B4">
        <w:t xml:space="preserve"> </w:t>
      </w:r>
      <w:r w:rsidR="00C23A73" w:rsidRPr="002513B4">
        <w:t>S</w:t>
      </w:r>
      <w:r w:rsidRPr="002513B4">
        <w:t>urvey, regardless of the “No” response provided in Q1.</w:t>
      </w:r>
      <w:r w:rsidR="00DE2270" w:rsidRPr="002513B4">
        <w:t xml:space="preserve"> </w:t>
      </w:r>
      <w:r w:rsidR="002830B5" w:rsidRPr="002513B4">
        <w:t>Conversely</w:t>
      </w:r>
      <w:r w:rsidR="00DE2270" w:rsidRPr="002513B4">
        <w:t xml:space="preserve">, if the answer to Q1 is “No” and no other questions are marked, code the case as 220 – Ineligible: Does Not Meet Eligible Population Criteria. </w:t>
      </w:r>
    </w:p>
    <w:p w14:paraId="3D871F0C" w14:textId="77777777" w:rsidR="00EE74F9" w:rsidRPr="002513B4" w:rsidRDefault="00EE74F9" w:rsidP="00EE74F9">
      <w:pPr>
        <w:pStyle w:val="ListBullet"/>
      </w:pPr>
      <w:r w:rsidRPr="002513B4">
        <w:t xml:space="preserve">If the answer to Q1 on the </w:t>
      </w:r>
      <w:r w:rsidRPr="002513B4">
        <w:rPr>
          <w:b/>
          <w:bCs/>
        </w:rPr>
        <w:t>mail survey</w:t>
      </w:r>
      <w:r w:rsidRPr="002513B4">
        <w:t xml:space="preserve"> is missing, but some or </w:t>
      </w:r>
      <w:proofErr w:type="gramStart"/>
      <w:r w:rsidRPr="002513B4">
        <w:t>all of</w:t>
      </w:r>
      <w:proofErr w:type="gramEnd"/>
      <w:r w:rsidRPr="002513B4">
        <w:t xml:space="preserve"> the rest of the questions in the survey have been answered, key or scan all of the responses marked, including the “M</w:t>
      </w:r>
      <w:r w:rsidR="00C23A73" w:rsidRPr="002513B4">
        <w:t>issing</w:t>
      </w:r>
      <w:r w:rsidRPr="002513B4">
        <w:t xml:space="preserve">” response to Q1. If the questionnaire meets the completeness criteria, code the questionnaire as </w:t>
      </w:r>
      <w:r w:rsidR="00C23A73" w:rsidRPr="002513B4">
        <w:t>110 – C</w:t>
      </w:r>
      <w:r w:rsidRPr="002513B4">
        <w:t xml:space="preserve">ompleted </w:t>
      </w:r>
      <w:r w:rsidR="00C23A73" w:rsidRPr="002513B4">
        <w:t>Mail S</w:t>
      </w:r>
      <w:r w:rsidRPr="002513B4">
        <w:t xml:space="preserve">urvey, </w:t>
      </w:r>
      <w:proofErr w:type="gramStart"/>
      <w:r w:rsidRPr="002513B4">
        <w:t>regardless of the fact that</w:t>
      </w:r>
      <w:proofErr w:type="gramEnd"/>
      <w:r w:rsidRPr="002513B4">
        <w:t xml:space="preserve"> no response was provided in Q1.</w:t>
      </w:r>
    </w:p>
    <w:p w14:paraId="03BEF424" w14:textId="48527BCE" w:rsidR="00EE74F9" w:rsidRPr="002513B4" w:rsidRDefault="00EE74F9" w:rsidP="00EE74F9">
      <w:pPr>
        <w:pStyle w:val="ListBullet"/>
      </w:pPr>
      <w:r w:rsidRPr="002513B4">
        <w:t xml:space="preserve">If the answer to Q1 on the </w:t>
      </w:r>
      <w:r w:rsidRPr="002513B4">
        <w:rPr>
          <w:b/>
          <w:bCs/>
        </w:rPr>
        <w:t>telephone survey</w:t>
      </w:r>
      <w:r w:rsidRPr="002513B4">
        <w:t xml:space="preserve"> is “No,” the code assigned should be 220</w:t>
      </w:r>
      <w:r w:rsidR="00C23A73" w:rsidRPr="002513B4">
        <w:t xml:space="preserve"> – </w:t>
      </w:r>
      <w:r w:rsidRPr="002513B4">
        <w:t xml:space="preserve">Ineligible: Does Not Meet Eligible Population Criteria. These cases should </w:t>
      </w:r>
      <w:r w:rsidRPr="002513B4">
        <w:rPr>
          <w:b/>
          <w:bCs/>
        </w:rPr>
        <w:t>not</w:t>
      </w:r>
      <w:r w:rsidRPr="002513B4">
        <w:t xml:space="preserve"> be assigned a </w:t>
      </w:r>
      <w:r w:rsidR="00631531" w:rsidRPr="002513B4">
        <w:t>310 – B</w:t>
      </w:r>
      <w:r w:rsidRPr="002513B4">
        <w:t xml:space="preserve">reakoff </w:t>
      </w:r>
      <w:r w:rsidR="00631531" w:rsidRPr="002513B4">
        <w:t xml:space="preserve">disposition </w:t>
      </w:r>
      <w:r w:rsidRPr="002513B4">
        <w:t>code, as answering “No” indicates that the sample member is not eligible.</w:t>
      </w:r>
    </w:p>
    <w:p w14:paraId="4FA8C851" w14:textId="0B4B39E4" w:rsidR="00EE74F9" w:rsidRPr="002513B4" w:rsidRDefault="009D79E3" w:rsidP="00EE74F9">
      <w:pPr>
        <w:pStyle w:val="Heading5"/>
      </w:pPr>
      <w:r w:rsidRPr="002513B4">
        <w:t>9.2.2.2</w:t>
      </w:r>
      <w:r w:rsidR="00C3038E" w:rsidRPr="002513B4">
        <w:tab/>
      </w:r>
      <w:r w:rsidR="00EE74F9" w:rsidRPr="002513B4">
        <w:t xml:space="preserve">Decision Rules for Coding Follow-Up Questions (Qs. </w:t>
      </w:r>
      <w:r w:rsidR="00631531" w:rsidRPr="002513B4">
        <w:t>16</w:t>
      </w:r>
      <w:r w:rsidR="00EE74F9" w:rsidRPr="002513B4">
        <w:t xml:space="preserve"> and </w:t>
      </w:r>
      <w:r w:rsidR="00631531" w:rsidRPr="002513B4">
        <w:t>25</w:t>
      </w:r>
      <w:r w:rsidR="00C23A73" w:rsidRPr="002513B4">
        <w:t>*</w:t>
      </w:r>
      <w:r w:rsidR="00EE74F9" w:rsidRPr="002513B4">
        <w:t>)</w:t>
      </w:r>
    </w:p>
    <w:p w14:paraId="1919B0F5" w14:textId="44446892" w:rsidR="00C23A73" w:rsidRPr="002513B4" w:rsidRDefault="00C23A73" w:rsidP="009F68DF">
      <w:pPr>
        <w:pStyle w:val="BodyText"/>
        <w:rPr>
          <w:lang w:val="en-US"/>
        </w:rPr>
      </w:pPr>
      <w:r w:rsidRPr="002513B4">
        <w:rPr>
          <w:lang w:val="en-US"/>
        </w:rPr>
        <w:t>*</w:t>
      </w:r>
      <w:r w:rsidR="005F4F31" w:rsidRPr="002513B4">
        <w:rPr>
          <w:lang w:val="en-US"/>
        </w:rPr>
        <w:t>N</w:t>
      </w:r>
      <w:r w:rsidRPr="002513B4">
        <w:rPr>
          <w:lang w:val="en-US"/>
        </w:rPr>
        <w:t>ote: Question </w:t>
      </w:r>
      <w:r w:rsidR="00631531" w:rsidRPr="002513B4">
        <w:rPr>
          <w:lang w:val="en-US"/>
        </w:rPr>
        <w:t>25</w:t>
      </w:r>
      <w:r w:rsidRPr="002513B4">
        <w:rPr>
          <w:lang w:val="en-US"/>
        </w:rPr>
        <w:t xml:space="preserve"> is </w:t>
      </w:r>
      <w:r w:rsidR="005F4F31" w:rsidRPr="002513B4">
        <w:rPr>
          <w:lang w:val="en-US"/>
        </w:rPr>
        <w:t xml:space="preserve">only </w:t>
      </w:r>
      <w:r w:rsidRPr="002513B4">
        <w:rPr>
          <w:lang w:val="en-US"/>
        </w:rPr>
        <w:t>included in the mail survey</w:t>
      </w:r>
      <w:r w:rsidR="005F4F31" w:rsidRPr="002513B4">
        <w:rPr>
          <w:lang w:val="en-US"/>
        </w:rPr>
        <w:t>.</w:t>
      </w:r>
    </w:p>
    <w:p w14:paraId="09A65F34" w14:textId="4656E760" w:rsidR="00EE74F9" w:rsidRPr="002513B4" w:rsidRDefault="00EE74F9" w:rsidP="00EE74F9">
      <w:pPr>
        <w:pStyle w:val="ListBullet"/>
      </w:pPr>
      <w:r w:rsidRPr="002513B4">
        <w:lastRenderedPageBreak/>
        <w:t xml:space="preserve">Enter the response provided by the respondent whenever one is given, regardless of whether the response agrees with the screener question. For example, if the respondent answers “No” to the screener question and then </w:t>
      </w:r>
      <w:r w:rsidR="00A30125" w:rsidRPr="002513B4">
        <w:t>marks a response to</w:t>
      </w:r>
      <w:r w:rsidRPr="002513B4">
        <w:t xml:space="preserve"> the follow-up question instead of skipping it, that is acceptable—the response must still be keyed or scanned.</w:t>
      </w:r>
    </w:p>
    <w:p w14:paraId="4E9F0A35" w14:textId="6672457A" w:rsidR="00EE74F9" w:rsidRPr="002513B4" w:rsidRDefault="00EE74F9" w:rsidP="00EE74F9">
      <w:pPr>
        <w:pStyle w:val="ListBullet"/>
      </w:pPr>
      <w:r w:rsidRPr="002513B4">
        <w:t xml:space="preserve">If the follow-up question is </w:t>
      </w:r>
      <w:r w:rsidR="000C0E18" w:rsidRPr="002513B4">
        <w:rPr>
          <w:b/>
          <w:bCs/>
        </w:rPr>
        <w:t>correctly</w:t>
      </w:r>
      <w:r w:rsidR="000C0E18" w:rsidRPr="002513B4">
        <w:t xml:space="preserve"> </w:t>
      </w:r>
      <w:r w:rsidRPr="002513B4">
        <w:t>left blank because the respondent answered the screener question as “No,” code the follow-up question as “</w:t>
      </w:r>
      <w:r w:rsidR="000C0E18" w:rsidRPr="002513B4">
        <w:t>8” (</w:t>
      </w:r>
      <w:r w:rsidRPr="002513B4">
        <w:t>Not Applicable</w:t>
      </w:r>
      <w:r w:rsidR="00A30125" w:rsidRPr="002513B4">
        <w:t>).</w:t>
      </w:r>
    </w:p>
    <w:p w14:paraId="4657758F" w14:textId="2FB72071" w:rsidR="00EE74F9" w:rsidRPr="002513B4" w:rsidRDefault="00EE74F9" w:rsidP="00EE74F9">
      <w:pPr>
        <w:pStyle w:val="ListBullet"/>
      </w:pPr>
      <w:r w:rsidRPr="002513B4">
        <w:t xml:space="preserve">If the follow-up question is </w:t>
      </w:r>
      <w:r w:rsidR="000C0E18" w:rsidRPr="002513B4">
        <w:rPr>
          <w:b/>
          <w:bCs/>
        </w:rPr>
        <w:t>incorrectly</w:t>
      </w:r>
      <w:r w:rsidR="000C0E18" w:rsidRPr="002513B4">
        <w:t xml:space="preserve"> </w:t>
      </w:r>
      <w:r w:rsidRPr="002513B4">
        <w:t xml:space="preserve">left blank because the respondent skipped it rather than answering it, enter “M” </w:t>
      </w:r>
      <w:r w:rsidR="00A30125" w:rsidRPr="002513B4">
        <w:t>(</w:t>
      </w:r>
      <w:r w:rsidR="000C0E18" w:rsidRPr="002513B4">
        <w:t>Missing</w:t>
      </w:r>
      <w:r w:rsidR="00A30125" w:rsidRPr="002513B4">
        <w:t xml:space="preserve">) </w:t>
      </w:r>
      <w:r w:rsidRPr="002513B4">
        <w:t>for the follow-up response.</w:t>
      </w:r>
    </w:p>
    <w:p w14:paraId="2600AA5D" w14:textId="5F3D7D3D" w:rsidR="00EE74F9" w:rsidRPr="002513B4" w:rsidRDefault="009D79E3" w:rsidP="00EE74F9">
      <w:pPr>
        <w:pStyle w:val="Heading5"/>
      </w:pPr>
      <w:r w:rsidRPr="002513B4">
        <w:t>9.2.2.3</w:t>
      </w:r>
      <w:r w:rsidR="00C3038E" w:rsidRPr="002513B4">
        <w:tab/>
      </w:r>
      <w:r w:rsidR="00EE74F9" w:rsidRPr="002513B4">
        <w:t>Decision Rules for Coding Survey Responses Marked Outside of the Response Box</w:t>
      </w:r>
    </w:p>
    <w:p w14:paraId="029483FC" w14:textId="4B8B26D7" w:rsidR="00EE74F9" w:rsidRPr="002513B4" w:rsidRDefault="00EE74F9" w:rsidP="00EE74F9">
      <w:pPr>
        <w:pStyle w:val="BodyText"/>
        <w:rPr>
          <w:lang w:val="en-US"/>
        </w:rPr>
      </w:pPr>
      <w:r w:rsidRPr="002513B4">
        <w:rPr>
          <w:lang w:val="en-US"/>
        </w:rPr>
        <w:t xml:space="preserve">Although HHCAHPS Survey mail questionnaires use response bubbles or boxes, vendors may receive surveys where a response is marked outside the response box. CMS and the </w:t>
      </w:r>
      <w:r w:rsidR="00F2734F" w:rsidRPr="002513B4">
        <w:rPr>
          <w:lang w:val="en-US"/>
        </w:rPr>
        <w:t>HHCAHPS Survey Coordination Team</w:t>
      </w:r>
      <w:r w:rsidRPr="002513B4">
        <w:rPr>
          <w:lang w:val="en-US"/>
        </w:rPr>
        <w:t xml:space="preserve"> acknowledge that there are some instances where it is acceptable to consider a response marked, even if the response box itself is not marked. However, to minimize the opportunity for coding interpretation errors among vendors, CMS requests that all responses or response boxes that are not circled, checked, underlined, or in some other way </w:t>
      </w:r>
      <w:r w:rsidRPr="002513B4">
        <w:rPr>
          <w:i/>
          <w:iCs/>
          <w:lang w:val="en-US"/>
        </w:rPr>
        <w:t>clearly designated by the respondent</w:t>
      </w:r>
      <w:r w:rsidRPr="002513B4">
        <w:rPr>
          <w:lang w:val="en-US"/>
        </w:rPr>
        <w:t xml:space="preserve"> (i.e., the respondent writes the </w:t>
      </w:r>
      <w:r w:rsidRPr="002513B4">
        <w:rPr>
          <w:b/>
          <w:lang w:val="en-US"/>
        </w:rPr>
        <w:t>exact</w:t>
      </w:r>
      <w:r w:rsidRPr="002513B4">
        <w:rPr>
          <w:lang w:val="en-US"/>
        </w:rPr>
        <w:t xml:space="preserve"> wording of a response to the right of the response options) be coded as “M”</w:t>
      </w:r>
      <w:r w:rsidR="00E93AD4" w:rsidRPr="002513B4">
        <w:rPr>
          <w:lang w:val="en-US"/>
        </w:rPr>
        <w:t xml:space="preserve"> (</w:t>
      </w:r>
      <w:r w:rsidR="004952E9" w:rsidRPr="002513B4">
        <w:rPr>
          <w:lang w:val="en-US"/>
        </w:rPr>
        <w:t>Missing</w:t>
      </w:r>
      <w:r w:rsidR="00E93AD4" w:rsidRPr="002513B4">
        <w:rPr>
          <w:lang w:val="en-US"/>
        </w:rPr>
        <w:t xml:space="preserve">). </w:t>
      </w:r>
    </w:p>
    <w:p w14:paraId="47080D6F" w14:textId="7B1E754A" w:rsidR="00AF6BE4" w:rsidRPr="002513B4" w:rsidRDefault="00EE74F9" w:rsidP="00AF6BE4">
      <w:pPr>
        <w:pStyle w:val="BodyText"/>
        <w:rPr>
          <w:lang w:val="en-US"/>
        </w:rPr>
      </w:pPr>
      <w:r w:rsidRPr="002513B4">
        <w:rPr>
          <w:lang w:val="en-US"/>
        </w:rPr>
        <w:t>Although some text or marks to the right of the response options may seem to point to a particular response, many times the respondent’s intent is not clear. This opens the door to non</w:t>
      </w:r>
      <w:r w:rsidR="00F510D1" w:rsidRPr="002513B4">
        <w:rPr>
          <w:lang w:val="en-US"/>
        </w:rPr>
        <w:t>-</w:t>
      </w:r>
      <w:r w:rsidRPr="002513B4">
        <w:rPr>
          <w:lang w:val="en-US"/>
        </w:rPr>
        <w:t xml:space="preserve">standardized interpretations from vendor to vendor. To provide some visual guidance on what is expected, we have offered three examples below of when it is acceptable to code a response </w:t>
      </w:r>
      <w:r w:rsidR="004B7428" w:rsidRPr="002513B4">
        <w:rPr>
          <w:lang w:val="en-US"/>
        </w:rPr>
        <w:t>(</w:t>
      </w:r>
      <w:r w:rsidR="004B7428" w:rsidRPr="002513B4">
        <w:rPr>
          <w:b/>
          <w:bCs/>
          <w:i/>
          <w:iCs/>
          <w:lang w:val="en-US"/>
        </w:rPr>
        <w:t xml:space="preserve">Exhibit </w:t>
      </w:r>
      <w:r w:rsidR="004C40EF" w:rsidRPr="002513B4">
        <w:rPr>
          <w:b/>
          <w:bCs/>
          <w:i/>
          <w:iCs/>
          <w:lang w:val="en-US"/>
        </w:rPr>
        <w:t>9-1a</w:t>
      </w:r>
      <w:r w:rsidR="004C40EF" w:rsidRPr="002513B4">
        <w:rPr>
          <w:lang w:val="en-US"/>
        </w:rPr>
        <w:t xml:space="preserve">) </w:t>
      </w:r>
      <w:r w:rsidRPr="002513B4">
        <w:rPr>
          <w:lang w:val="en-US"/>
        </w:rPr>
        <w:t>and two examples of when it is not acceptable to code a response</w:t>
      </w:r>
      <w:r w:rsidR="004C40EF" w:rsidRPr="002513B4">
        <w:rPr>
          <w:lang w:val="en-US"/>
        </w:rPr>
        <w:t xml:space="preserve"> (</w:t>
      </w:r>
      <w:r w:rsidR="000331DB" w:rsidRPr="002513B4">
        <w:rPr>
          <w:b/>
          <w:bCs/>
          <w:i/>
          <w:iCs/>
          <w:lang w:val="en-US"/>
        </w:rPr>
        <w:t>Exhibit 9-1b</w:t>
      </w:r>
      <w:r w:rsidR="000331DB" w:rsidRPr="002513B4">
        <w:rPr>
          <w:lang w:val="en-US"/>
        </w:rPr>
        <w:t>)</w:t>
      </w:r>
      <w:r w:rsidRPr="002513B4">
        <w:rPr>
          <w:lang w:val="en-US"/>
        </w:rPr>
        <w:t>.</w:t>
      </w:r>
    </w:p>
    <w:p w14:paraId="44F80443" w14:textId="77777777" w:rsidR="00BF7431" w:rsidRPr="002513B4" w:rsidRDefault="00BF7431">
      <w:pPr>
        <w:spacing w:after="0" w:line="240" w:lineRule="auto"/>
        <w:rPr>
          <w:b/>
          <w:bCs/>
          <w:szCs w:val="24"/>
          <w:lang w:eastAsia="x-none"/>
        </w:rPr>
      </w:pPr>
      <w:r w:rsidRPr="002513B4">
        <w:rPr>
          <w:b/>
          <w:bCs/>
          <w:szCs w:val="24"/>
        </w:rPr>
        <w:br w:type="page"/>
      </w:r>
    </w:p>
    <w:p w14:paraId="63DD1CA7" w14:textId="0608E914" w:rsidR="00EE74F9" w:rsidRPr="002513B4" w:rsidRDefault="000331DB" w:rsidP="000331DB">
      <w:pPr>
        <w:pStyle w:val="ExhibitCaption"/>
      </w:pPr>
      <w:bookmarkStart w:id="296" w:name="_Toc217024894"/>
      <w:r w:rsidRPr="002513B4">
        <w:lastRenderedPageBreak/>
        <w:t>Exhibit 9</w:t>
      </w:r>
      <w:r w:rsidR="00687F9D" w:rsidRPr="002513B4">
        <w:t>.</w:t>
      </w:r>
      <w:r w:rsidRPr="002513B4">
        <w:t xml:space="preserve">1a </w:t>
      </w:r>
      <w:r w:rsidR="00EE74F9" w:rsidRPr="002513B4">
        <w:t>When it is Acceptable to Code a Response</w:t>
      </w:r>
      <w:bookmarkEnd w:id="296"/>
    </w:p>
    <w:p w14:paraId="34A1180C" w14:textId="77777777" w:rsidR="00EE74F9" w:rsidRPr="002513B4" w:rsidRDefault="00EE74F9" w:rsidP="00EE74F9">
      <w:pPr>
        <w:pStyle w:val="BodyText"/>
        <w:rPr>
          <w:b/>
          <w:bCs/>
          <w:szCs w:val="24"/>
          <w:lang w:val="en-US"/>
        </w:rPr>
        <w:sectPr w:rsidR="00EE74F9" w:rsidRPr="002513B4" w:rsidSect="00471473">
          <w:headerReference w:type="default" r:id="rId111"/>
          <w:headerReference w:type="first" r:id="rId112"/>
          <w:pgSz w:w="12240" w:h="15840" w:code="1"/>
          <w:pgMar w:top="1440" w:right="1440" w:bottom="1440" w:left="1440" w:header="720" w:footer="720" w:gutter="0"/>
          <w:cols w:space="720"/>
          <w:titlePg/>
          <w:docGrid w:linePitch="272"/>
        </w:sectPr>
      </w:pPr>
    </w:p>
    <w:p w14:paraId="232454FC" w14:textId="77777777" w:rsidR="00EE74F9" w:rsidRPr="002513B4" w:rsidRDefault="00EE74F9" w:rsidP="00EE74F9">
      <w:pPr>
        <w:pStyle w:val="BodyText"/>
        <w:rPr>
          <w:b/>
          <w:szCs w:val="24"/>
          <w:lang w:val="en-US"/>
        </w:rPr>
      </w:pPr>
      <w:r w:rsidRPr="002513B4">
        <w:rPr>
          <w:b/>
          <w:szCs w:val="24"/>
          <w:lang w:val="en-US"/>
        </w:rPr>
        <w:t>Example 1:</w:t>
      </w:r>
    </w:p>
    <w:p w14:paraId="43DD0C1B" w14:textId="2013D18D" w:rsidR="00EE74F9" w:rsidRPr="002513B4" w:rsidRDefault="00EE74F9" w:rsidP="00EE74F9">
      <w:pPr>
        <w:pStyle w:val="BodyText"/>
        <w:rPr>
          <w:szCs w:val="24"/>
          <w:lang w:val="en-US"/>
        </w:rPr>
      </w:pPr>
      <w:r w:rsidRPr="002513B4">
        <w:rPr>
          <w:szCs w:val="24"/>
          <w:lang w:val="en-US"/>
        </w:rPr>
        <w:t>In this first example, the respondent has circled a response. The respondent’s intention is clear.</w:t>
      </w:r>
    </w:p>
    <w:p w14:paraId="1226495E" w14:textId="434941A2" w:rsidR="00EE74F9" w:rsidRPr="002513B4" w:rsidRDefault="00B4228C" w:rsidP="00EE74F9">
      <w:pPr>
        <w:pStyle w:val="BodyText"/>
        <w:rPr>
          <w:szCs w:val="24"/>
          <w:lang w:val="en-US"/>
        </w:rPr>
      </w:pPr>
      <w:r w:rsidRPr="002513B4">
        <w:rPr>
          <w:lang w:val="en-US"/>
        </w:rPr>
        <w:t xml:space="preserve"> </w:t>
      </w:r>
      <w:r w:rsidRPr="002513B4">
        <w:rPr>
          <w:noProof/>
          <w:szCs w:val="24"/>
          <w:lang w:val="en-US"/>
        </w:rPr>
        <w:drawing>
          <wp:inline distT="0" distB="0" distL="0" distR="0" wp14:anchorId="642739A9" wp14:editId="751F0597">
            <wp:extent cx="2743200" cy="1849755"/>
            <wp:effectExtent l="0" t="0" r="0" b="0"/>
            <wp:docPr id="2139141733" name="Picture 1" descr="Image displays question 3 with the second response option (&quot;No&quot;)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41733" name="Picture 1" descr="Image displays question 3 with the second response option (&quot;No&quot;) circled."/>
                    <pic:cNvPicPr/>
                  </pic:nvPicPr>
                  <pic:blipFill>
                    <a:blip r:embed="rId113"/>
                    <a:stretch>
                      <a:fillRect/>
                    </a:stretch>
                  </pic:blipFill>
                  <pic:spPr>
                    <a:xfrm>
                      <a:off x="0" y="0"/>
                      <a:ext cx="2743200" cy="1849755"/>
                    </a:xfrm>
                    <a:prstGeom prst="rect">
                      <a:avLst/>
                    </a:prstGeom>
                  </pic:spPr>
                </pic:pic>
              </a:graphicData>
            </a:graphic>
          </wp:inline>
        </w:drawing>
      </w:r>
    </w:p>
    <w:p w14:paraId="61D961A7" w14:textId="77777777" w:rsidR="00EE74F9" w:rsidRPr="002513B4" w:rsidRDefault="00EE74F9" w:rsidP="00EE74F9">
      <w:pPr>
        <w:pStyle w:val="BodyText"/>
        <w:rPr>
          <w:b/>
          <w:szCs w:val="24"/>
          <w:lang w:val="en-US"/>
        </w:rPr>
      </w:pPr>
      <w:r w:rsidRPr="002513B4">
        <w:rPr>
          <w:b/>
          <w:szCs w:val="24"/>
          <w:lang w:val="en-US"/>
        </w:rPr>
        <w:br w:type="column"/>
      </w:r>
      <w:r w:rsidRPr="002513B4">
        <w:rPr>
          <w:b/>
          <w:szCs w:val="24"/>
          <w:lang w:val="en-US"/>
        </w:rPr>
        <w:t>Example 2:</w:t>
      </w:r>
    </w:p>
    <w:p w14:paraId="6B8440F2" w14:textId="77777777" w:rsidR="00EE74F9" w:rsidRPr="002513B4" w:rsidRDefault="00EE74F9" w:rsidP="00EE74F9">
      <w:pPr>
        <w:pStyle w:val="BodyText"/>
        <w:rPr>
          <w:szCs w:val="24"/>
          <w:lang w:val="en-US"/>
        </w:rPr>
      </w:pPr>
      <w:r w:rsidRPr="002513B4">
        <w:rPr>
          <w:szCs w:val="24"/>
          <w:lang w:val="en-US"/>
        </w:rPr>
        <w:t>In this second example, the respondent has underlined a response. The respondent’s intention is clear.</w:t>
      </w:r>
    </w:p>
    <w:p w14:paraId="4BBC78BA" w14:textId="47969DC6" w:rsidR="00EE74F9" w:rsidRPr="002513B4" w:rsidRDefault="00B4228C" w:rsidP="00EE74F9">
      <w:pPr>
        <w:pStyle w:val="BodyText"/>
        <w:rPr>
          <w:szCs w:val="24"/>
          <w:lang w:val="en-US"/>
        </w:rPr>
      </w:pPr>
      <w:r w:rsidRPr="002513B4">
        <w:rPr>
          <w:lang w:val="en-US"/>
        </w:rPr>
        <w:t xml:space="preserve"> </w:t>
      </w:r>
      <w:r w:rsidRPr="002513B4">
        <w:rPr>
          <w:noProof/>
          <w:szCs w:val="24"/>
          <w:lang w:val="en-US"/>
        </w:rPr>
        <w:drawing>
          <wp:inline distT="0" distB="0" distL="0" distR="0" wp14:anchorId="3E57AF53" wp14:editId="1221B9B7">
            <wp:extent cx="2743200" cy="1663065"/>
            <wp:effectExtent l="0" t="0" r="0" b="0"/>
            <wp:docPr id="123027094" name="Picture 1" descr="Image displays question 6 with the fourth response option (&quot;Always&quot;) underlin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7094" name="Picture 1" descr="Image displays question 6 with the fourth response option (&quot;Always&quot;) underlined.&#10;"/>
                    <pic:cNvPicPr/>
                  </pic:nvPicPr>
                  <pic:blipFill>
                    <a:blip r:embed="rId114"/>
                    <a:stretch>
                      <a:fillRect/>
                    </a:stretch>
                  </pic:blipFill>
                  <pic:spPr>
                    <a:xfrm>
                      <a:off x="0" y="0"/>
                      <a:ext cx="2743200" cy="1663065"/>
                    </a:xfrm>
                    <a:prstGeom prst="rect">
                      <a:avLst/>
                    </a:prstGeom>
                  </pic:spPr>
                </pic:pic>
              </a:graphicData>
            </a:graphic>
          </wp:inline>
        </w:drawing>
      </w:r>
    </w:p>
    <w:p w14:paraId="1870584E" w14:textId="77777777" w:rsidR="00EE74F9" w:rsidRPr="002513B4" w:rsidRDefault="00EE74F9" w:rsidP="00EE74F9">
      <w:pPr>
        <w:pStyle w:val="BodyText"/>
        <w:keepNext/>
        <w:keepLines/>
        <w:rPr>
          <w:b/>
          <w:szCs w:val="24"/>
          <w:lang w:val="en-US"/>
        </w:rPr>
        <w:sectPr w:rsidR="00EE74F9" w:rsidRPr="002513B4" w:rsidSect="00593CF5">
          <w:type w:val="continuous"/>
          <w:pgSz w:w="12240" w:h="15840" w:code="1"/>
          <w:pgMar w:top="1440" w:right="1440" w:bottom="1440" w:left="1440" w:header="720" w:footer="720" w:gutter="0"/>
          <w:cols w:num="2" w:sep="1" w:space="720"/>
          <w:titlePg/>
        </w:sectPr>
      </w:pPr>
    </w:p>
    <w:p w14:paraId="28F86EEC" w14:textId="77777777" w:rsidR="00EE74F9" w:rsidRPr="002513B4" w:rsidRDefault="00EE74F9" w:rsidP="00EE74F9">
      <w:pPr>
        <w:pStyle w:val="BodyText"/>
        <w:keepNext/>
        <w:keepLines/>
        <w:spacing w:before="240"/>
        <w:rPr>
          <w:b/>
          <w:szCs w:val="24"/>
          <w:lang w:val="en-US"/>
        </w:rPr>
      </w:pPr>
      <w:r w:rsidRPr="002513B4">
        <w:rPr>
          <w:b/>
          <w:szCs w:val="24"/>
          <w:lang w:val="en-US"/>
        </w:rPr>
        <w:t>Example 3:</w:t>
      </w:r>
    </w:p>
    <w:p w14:paraId="5DC40B41" w14:textId="77777777" w:rsidR="00EE74F9" w:rsidRPr="002513B4" w:rsidRDefault="00EE74F9" w:rsidP="00EE74F9">
      <w:pPr>
        <w:pStyle w:val="BodyText"/>
        <w:keepNext/>
        <w:keepLines/>
        <w:rPr>
          <w:szCs w:val="24"/>
          <w:lang w:val="en-US"/>
        </w:rPr>
      </w:pPr>
      <w:r w:rsidRPr="002513B4">
        <w:rPr>
          <w:szCs w:val="24"/>
          <w:lang w:val="en-US"/>
        </w:rPr>
        <w:t>In this third example, the respondent has placed a check mark very close to a response. Again, the respondent’s intention is clear.</w:t>
      </w:r>
    </w:p>
    <w:p w14:paraId="44F0AD4E" w14:textId="10AC5980" w:rsidR="00EE74F9" w:rsidRPr="002513B4" w:rsidRDefault="00B4228C" w:rsidP="00EE74F9">
      <w:pPr>
        <w:pStyle w:val="BodyText"/>
        <w:keepNext/>
        <w:keepLines/>
        <w:rPr>
          <w:szCs w:val="24"/>
          <w:lang w:val="en-US"/>
        </w:rPr>
      </w:pPr>
      <w:r w:rsidRPr="002513B4">
        <w:rPr>
          <w:lang w:val="en-US"/>
        </w:rPr>
        <w:t xml:space="preserve"> </w:t>
      </w:r>
      <w:r w:rsidRPr="002513B4">
        <w:rPr>
          <w:noProof/>
          <w:szCs w:val="24"/>
          <w:lang w:val="en-US"/>
        </w:rPr>
        <w:drawing>
          <wp:inline distT="0" distB="0" distL="0" distR="0" wp14:anchorId="05468EF5" wp14:editId="3DADA228">
            <wp:extent cx="2743200" cy="1503045"/>
            <wp:effectExtent l="0" t="0" r="0" b="1905"/>
            <wp:docPr id="1298499366" name="Picture 1" descr="Image displays question 9 with a check mark next to the second response option (&quot;Sometimes&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99366" name="Picture 1" descr="Image displays question 9 with a check mark next to the second response option (&quot;Sometimes&quot;).&#10;"/>
                    <pic:cNvPicPr/>
                  </pic:nvPicPr>
                  <pic:blipFill>
                    <a:blip r:embed="rId115"/>
                    <a:stretch>
                      <a:fillRect/>
                    </a:stretch>
                  </pic:blipFill>
                  <pic:spPr>
                    <a:xfrm>
                      <a:off x="0" y="0"/>
                      <a:ext cx="2743200" cy="1503045"/>
                    </a:xfrm>
                    <a:prstGeom prst="rect">
                      <a:avLst/>
                    </a:prstGeom>
                  </pic:spPr>
                </pic:pic>
              </a:graphicData>
            </a:graphic>
          </wp:inline>
        </w:drawing>
      </w:r>
    </w:p>
    <w:p w14:paraId="60356A5E" w14:textId="77777777" w:rsidR="00EE74F9" w:rsidRPr="002513B4" w:rsidRDefault="00EE74F9" w:rsidP="00EE74F9">
      <w:pPr>
        <w:pStyle w:val="BodyText"/>
        <w:keepNext/>
        <w:keepLines/>
        <w:rPr>
          <w:szCs w:val="24"/>
          <w:lang w:val="en-US"/>
        </w:rPr>
      </w:pPr>
      <w:r w:rsidRPr="002513B4">
        <w:rPr>
          <w:szCs w:val="24"/>
          <w:lang w:val="en-US"/>
        </w:rPr>
        <w:br w:type="column"/>
      </w:r>
    </w:p>
    <w:p w14:paraId="7C3E7A9A" w14:textId="77777777" w:rsidR="00EE74F9" w:rsidRPr="002513B4" w:rsidRDefault="00EE74F9" w:rsidP="00EE74F9">
      <w:pPr>
        <w:pStyle w:val="BodyText"/>
        <w:keepNext/>
        <w:keepLines/>
        <w:rPr>
          <w:szCs w:val="24"/>
          <w:lang w:val="en-US"/>
        </w:rPr>
        <w:sectPr w:rsidR="00EE74F9" w:rsidRPr="002513B4" w:rsidSect="00593CF5">
          <w:type w:val="continuous"/>
          <w:pgSz w:w="12240" w:h="15840" w:code="1"/>
          <w:pgMar w:top="1440" w:right="1440" w:bottom="1440" w:left="1440" w:header="720" w:footer="720" w:gutter="0"/>
          <w:cols w:num="2" w:sep="1" w:space="720"/>
          <w:titlePg/>
        </w:sectPr>
      </w:pPr>
    </w:p>
    <w:p w14:paraId="1AF87F00" w14:textId="77777777" w:rsidR="00EE74F9" w:rsidRPr="002513B4" w:rsidRDefault="00EE74F9" w:rsidP="00480698">
      <w:bookmarkStart w:id="297" w:name="_Toc224984448"/>
      <w:bookmarkStart w:id="298" w:name="_Toc251318177"/>
    </w:p>
    <w:p w14:paraId="66543E0C" w14:textId="77777777" w:rsidR="002008CA" w:rsidRPr="002513B4" w:rsidRDefault="002008CA">
      <w:pPr>
        <w:spacing w:after="0" w:line="240" w:lineRule="auto"/>
        <w:rPr>
          <w:b/>
          <w:bCs/>
          <w:szCs w:val="24"/>
          <w:lang w:eastAsia="x-none"/>
        </w:rPr>
      </w:pPr>
      <w:r w:rsidRPr="002513B4">
        <w:rPr>
          <w:b/>
          <w:bCs/>
          <w:szCs w:val="24"/>
        </w:rPr>
        <w:br w:type="page"/>
      </w:r>
    </w:p>
    <w:p w14:paraId="127E9538" w14:textId="1EE26096" w:rsidR="002008CA" w:rsidRPr="002513B4" w:rsidRDefault="000331DB" w:rsidP="000331DB">
      <w:pPr>
        <w:pStyle w:val="ExhibitCaption"/>
      </w:pPr>
      <w:bookmarkStart w:id="299" w:name="_Toc217024895"/>
      <w:r w:rsidRPr="002513B4">
        <w:lastRenderedPageBreak/>
        <w:t>Exhibit 9</w:t>
      </w:r>
      <w:r w:rsidR="00687F9D" w:rsidRPr="002513B4">
        <w:t>.1</w:t>
      </w:r>
      <w:r w:rsidRPr="002513B4">
        <w:t xml:space="preserve">b </w:t>
      </w:r>
      <w:r w:rsidR="002008CA" w:rsidRPr="002513B4">
        <w:t>When it is NOT Acceptable to Code a Response</w:t>
      </w:r>
      <w:bookmarkEnd w:id="299"/>
    </w:p>
    <w:p w14:paraId="1D2F4E8D" w14:textId="77777777" w:rsidR="002008CA" w:rsidRPr="002513B4" w:rsidRDefault="002008CA" w:rsidP="002008CA">
      <w:pPr>
        <w:pStyle w:val="BodyText"/>
        <w:rPr>
          <w:szCs w:val="24"/>
          <w:lang w:val="en-US"/>
        </w:rPr>
        <w:sectPr w:rsidR="002008CA" w:rsidRPr="002513B4" w:rsidSect="002008CA">
          <w:type w:val="continuous"/>
          <w:pgSz w:w="12240" w:h="15840" w:code="1"/>
          <w:pgMar w:top="1440" w:right="1440" w:bottom="1440" w:left="1440" w:header="720" w:footer="720" w:gutter="0"/>
          <w:cols w:space="720"/>
          <w:docGrid w:linePitch="326"/>
        </w:sectPr>
      </w:pPr>
    </w:p>
    <w:p w14:paraId="3AE53C75" w14:textId="77777777" w:rsidR="002008CA" w:rsidRPr="002513B4" w:rsidRDefault="002008CA" w:rsidP="002008CA">
      <w:pPr>
        <w:pStyle w:val="BodyText"/>
        <w:rPr>
          <w:b/>
          <w:szCs w:val="24"/>
          <w:lang w:val="en-US"/>
        </w:rPr>
      </w:pPr>
      <w:r w:rsidRPr="002513B4">
        <w:rPr>
          <w:b/>
          <w:szCs w:val="24"/>
          <w:lang w:val="en-US"/>
        </w:rPr>
        <w:t>Example 1:</w:t>
      </w:r>
    </w:p>
    <w:p w14:paraId="074D280E" w14:textId="77777777" w:rsidR="002008CA" w:rsidRPr="002513B4" w:rsidRDefault="002008CA" w:rsidP="002008CA">
      <w:pPr>
        <w:pStyle w:val="BodyText"/>
        <w:rPr>
          <w:szCs w:val="24"/>
          <w:lang w:val="en-US"/>
        </w:rPr>
      </w:pPr>
      <w:r w:rsidRPr="002513B4">
        <w:rPr>
          <w:szCs w:val="24"/>
          <w:lang w:val="en-US"/>
        </w:rPr>
        <w:t>In this example, the respondent has placed a check mark to the right of the response boxes. It is not clear which response was intended.</w:t>
      </w:r>
    </w:p>
    <w:p w14:paraId="36064281" w14:textId="77777777" w:rsidR="002008CA" w:rsidRPr="002513B4" w:rsidRDefault="002008CA" w:rsidP="002008CA">
      <w:pPr>
        <w:pStyle w:val="BodyText"/>
        <w:rPr>
          <w:szCs w:val="24"/>
          <w:lang w:val="en-US"/>
        </w:rPr>
      </w:pPr>
      <w:r w:rsidRPr="002513B4">
        <w:rPr>
          <w:lang w:val="en-US"/>
        </w:rPr>
        <w:t xml:space="preserve"> </w:t>
      </w:r>
      <w:r w:rsidRPr="002513B4">
        <w:rPr>
          <w:noProof/>
          <w:szCs w:val="24"/>
          <w:lang w:val="en-US"/>
        </w:rPr>
        <w:drawing>
          <wp:inline distT="0" distB="0" distL="0" distR="0" wp14:anchorId="68ED01DD" wp14:editId="244C78F5">
            <wp:extent cx="2743200" cy="1640205"/>
            <wp:effectExtent l="0" t="0" r="0" b="0"/>
            <wp:docPr id="99078972" name="Picture 1" descr="Image displays question 13 with a check mark to the far right between the first and second response op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8972" name="Picture 1" descr="Image displays question 13 with a check mark to the far right between the first and second response options.&#10;"/>
                    <pic:cNvPicPr/>
                  </pic:nvPicPr>
                  <pic:blipFill>
                    <a:blip r:embed="rId116"/>
                    <a:stretch>
                      <a:fillRect/>
                    </a:stretch>
                  </pic:blipFill>
                  <pic:spPr>
                    <a:xfrm>
                      <a:off x="0" y="0"/>
                      <a:ext cx="2743200" cy="1640205"/>
                    </a:xfrm>
                    <a:prstGeom prst="rect">
                      <a:avLst/>
                    </a:prstGeom>
                  </pic:spPr>
                </pic:pic>
              </a:graphicData>
            </a:graphic>
          </wp:inline>
        </w:drawing>
      </w:r>
    </w:p>
    <w:p w14:paraId="29322927" w14:textId="77777777" w:rsidR="002008CA" w:rsidRPr="002513B4" w:rsidRDefault="002008CA" w:rsidP="002008CA">
      <w:pPr>
        <w:pStyle w:val="BodyText"/>
        <w:rPr>
          <w:b/>
          <w:szCs w:val="24"/>
          <w:lang w:val="en-US"/>
        </w:rPr>
      </w:pPr>
      <w:r w:rsidRPr="002513B4">
        <w:rPr>
          <w:szCs w:val="24"/>
          <w:lang w:val="en-US"/>
        </w:rPr>
        <w:br w:type="column"/>
      </w:r>
      <w:r w:rsidRPr="002513B4">
        <w:rPr>
          <w:b/>
          <w:szCs w:val="24"/>
          <w:lang w:val="en-US"/>
        </w:rPr>
        <w:t>Example 2:</w:t>
      </w:r>
    </w:p>
    <w:p w14:paraId="0461924A" w14:textId="77777777" w:rsidR="002008CA" w:rsidRPr="002513B4" w:rsidRDefault="002008CA" w:rsidP="002008CA">
      <w:pPr>
        <w:pStyle w:val="BodyText"/>
        <w:rPr>
          <w:szCs w:val="24"/>
          <w:lang w:val="en-US"/>
        </w:rPr>
      </w:pPr>
      <w:r w:rsidRPr="002513B4">
        <w:rPr>
          <w:szCs w:val="24"/>
          <w:lang w:val="en-US"/>
        </w:rPr>
        <w:t>In this example, the respondent has placed a check mark to the right of the response boxes. It is not clear which response was intended.</w:t>
      </w:r>
    </w:p>
    <w:p w14:paraId="2E35E18C" w14:textId="77777777" w:rsidR="002008CA" w:rsidRPr="002513B4" w:rsidRDefault="002008CA" w:rsidP="002008CA">
      <w:pPr>
        <w:pStyle w:val="BodyText"/>
        <w:spacing w:after="480"/>
        <w:rPr>
          <w:szCs w:val="24"/>
          <w:lang w:val="en-US"/>
        </w:rPr>
      </w:pPr>
      <w:r w:rsidRPr="002513B4">
        <w:rPr>
          <w:lang w:val="en-US"/>
        </w:rPr>
        <w:t xml:space="preserve"> </w:t>
      </w:r>
      <w:r w:rsidRPr="002513B4">
        <w:rPr>
          <w:noProof/>
          <w:szCs w:val="24"/>
          <w:lang w:val="en-US"/>
        </w:rPr>
        <w:drawing>
          <wp:inline distT="0" distB="0" distL="0" distR="0" wp14:anchorId="6ACBC2C0" wp14:editId="534A2E29">
            <wp:extent cx="2743200" cy="1492885"/>
            <wp:effectExtent l="0" t="0" r="0" b="0"/>
            <wp:docPr id="1704921097" name="Picture 1" descr="Image displays question 10 with a check mark ambiguously placed between the first and second response op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21097" name="Picture 1" descr="Image displays question 10 with a check mark ambiguously placed between the first and second response options.&#10;"/>
                    <pic:cNvPicPr/>
                  </pic:nvPicPr>
                  <pic:blipFill>
                    <a:blip r:embed="rId117"/>
                    <a:stretch>
                      <a:fillRect/>
                    </a:stretch>
                  </pic:blipFill>
                  <pic:spPr>
                    <a:xfrm>
                      <a:off x="0" y="0"/>
                      <a:ext cx="2743200" cy="1492885"/>
                    </a:xfrm>
                    <a:prstGeom prst="rect">
                      <a:avLst/>
                    </a:prstGeom>
                  </pic:spPr>
                </pic:pic>
              </a:graphicData>
            </a:graphic>
          </wp:inline>
        </w:drawing>
      </w:r>
    </w:p>
    <w:p w14:paraId="641A8855" w14:textId="77777777" w:rsidR="002008CA" w:rsidRPr="002513B4" w:rsidRDefault="002008CA" w:rsidP="002008CA">
      <w:pPr>
        <w:pStyle w:val="Heading2"/>
        <w:rPr>
          <w:lang w:val="en-US"/>
        </w:rPr>
        <w:sectPr w:rsidR="002008CA" w:rsidRPr="002513B4" w:rsidSect="002008CA">
          <w:type w:val="continuous"/>
          <w:pgSz w:w="12240" w:h="15840" w:code="1"/>
          <w:pgMar w:top="1440" w:right="1440" w:bottom="1440" w:left="1440" w:header="720" w:footer="720" w:gutter="0"/>
          <w:cols w:num="2" w:sep="1" w:space="720"/>
          <w:titlePg/>
        </w:sectPr>
      </w:pPr>
    </w:p>
    <w:p w14:paraId="098E001B" w14:textId="77777777" w:rsidR="002008CA" w:rsidRPr="002513B4" w:rsidRDefault="002008CA" w:rsidP="00480698"/>
    <w:p w14:paraId="4A2CDD72" w14:textId="3697DF9F" w:rsidR="00EE74F9" w:rsidRPr="002513B4" w:rsidRDefault="009D79E3" w:rsidP="00EE74F9">
      <w:pPr>
        <w:pStyle w:val="Heading3"/>
        <w:rPr>
          <w:lang w:val="en-US"/>
        </w:rPr>
      </w:pPr>
      <w:bookmarkStart w:id="300" w:name="_Toc24713378"/>
      <w:bookmarkStart w:id="301" w:name="_Toc217305608"/>
      <w:bookmarkEnd w:id="289"/>
      <w:bookmarkEnd w:id="297"/>
      <w:bookmarkEnd w:id="298"/>
      <w:r w:rsidRPr="002513B4">
        <w:rPr>
          <w:lang w:val="en-US"/>
        </w:rPr>
        <w:t>9.3</w:t>
      </w:r>
      <w:r w:rsidRPr="002513B4">
        <w:rPr>
          <w:lang w:val="en-US"/>
        </w:rPr>
        <w:tab/>
      </w:r>
      <w:r w:rsidR="00EE74F9" w:rsidRPr="002513B4">
        <w:rPr>
          <w:lang w:val="en-US"/>
        </w:rPr>
        <w:t>Survey Disposition Codes</w:t>
      </w:r>
      <w:bookmarkEnd w:id="300"/>
      <w:bookmarkEnd w:id="301"/>
    </w:p>
    <w:p w14:paraId="36382BF7" w14:textId="77777777" w:rsidR="00EE74F9" w:rsidRPr="002513B4" w:rsidRDefault="00EE74F9" w:rsidP="00EE74F9">
      <w:pPr>
        <w:pStyle w:val="BodyText"/>
        <w:rPr>
          <w:lang w:val="en-US"/>
        </w:rPr>
      </w:pPr>
      <w:r w:rsidRPr="002513B4">
        <w:rPr>
          <w:lang w:val="en-US"/>
        </w:rPr>
        <w:t xml:space="preserve">Vendors must follow all required HHCAHPS Survey disposition code assignment protocols. Survey disposition codes, also referred to as status codes, track the </w:t>
      </w:r>
      <w:proofErr w:type="gramStart"/>
      <w:r w:rsidRPr="002513B4">
        <w:rPr>
          <w:lang w:val="en-US"/>
        </w:rPr>
        <w:t>current status</w:t>
      </w:r>
      <w:proofErr w:type="gramEnd"/>
      <w:r w:rsidRPr="002513B4">
        <w:rPr>
          <w:lang w:val="en-US"/>
        </w:rPr>
        <w:t xml:space="preserve"> of a sampled case as it moves through the survey process. For example, a status code is used to designate that the first questionnaire has been mailed, and another status code is used to indicate that the questionnaire has been received. Status codes can be interim (meaning that they are expected to change as the case moves through the rest of the survey process) or final (meaning that no further action will be taken with that case).</w:t>
      </w:r>
    </w:p>
    <w:p w14:paraId="23FB7C7F" w14:textId="15E3DB17" w:rsidR="00EE74F9" w:rsidRPr="002513B4" w:rsidRDefault="00EE74F9" w:rsidP="00EE74F9">
      <w:pPr>
        <w:pStyle w:val="BodyText"/>
        <w:rPr>
          <w:lang w:val="en-US"/>
        </w:rPr>
      </w:pPr>
      <w:r w:rsidRPr="002513B4">
        <w:rPr>
          <w:lang w:val="en-US"/>
        </w:rPr>
        <w:t xml:space="preserve">This section provides a list and description of the </w:t>
      </w:r>
      <w:r w:rsidRPr="002513B4">
        <w:rPr>
          <w:i/>
          <w:iCs/>
          <w:lang w:val="en-US"/>
        </w:rPr>
        <w:t>final</w:t>
      </w:r>
      <w:r w:rsidRPr="002513B4">
        <w:rPr>
          <w:lang w:val="en-US"/>
        </w:rPr>
        <w:t xml:space="preserve"> disposition codes that are to be used on the HHCAHPS Survey, for </w:t>
      </w:r>
      <w:proofErr w:type="spellStart"/>
      <w:r w:rsidRPr="002513B4">
        <w:rPr>
          <w:lang w:val="en-US"/>
        </w:rPr>
        <w:t>mail</w:t>
      </w:r>
      <w:proofErr w:type="spellEnd"/>
      <w:r w:rsidRPr="002513B4">
        <w:rPr>
          <w:lang w:val="en-US"/>
        </w:rPr>
        <w:t xml:space="preserve">-only, telephone-only, and mixed-mode surveys. It is up to the vendor to designate interim status codes to use to track the pending status of a case. However, the vendor must select and assign the applicable code from the disposition codes shown in </w:t>
      </w:r>
      <w:r w:rsidRPr="002513B4">
        <w:rPr>
          <w:b/>
          <w:i/>
          <w:lang w:val="en-US"/>
        </w:rPr>
        <w:t>Table 9.1</w:t>
      </w:r>
      <w:r w:rsidRPr="002513B4">
        <w:rPr>
          <w:lang w:val="en-US"/>
        </w:rPr>
        <w:t xml:space="preserve"> for each sampled case included on the</w:t>
      </w:r>
      <w:r w:rsidR="0060497B" w:rsidRPr="002513B4">
        <w:rPr>
          <w:lang w:val="en-US"/>
        </w:rPr>
        <w:t xml:space="preserve"> XML</w:t>
      </w:r>
      <w:r w:rsidRPr="002513B4">
        <w:rPr>
          <w:lang w:val="en-US"/>
        </w:rPr>
        <w:t xml:space="preserve"> data file submitted to the HHCAHPS Data Center.</w:t>
      </w:r>
    </w:p>
    <w:p w14:paraId="01E3DED8" w14:textId="3041C24B" w:rsidR="00EE74F9" w:rsidRPr="002513B4" w:rsidRDefault="00EE74F9" w:rsidP="00EE74F9">
      <w:pPr>
        <w:pStyle w:val="TableCaption"/>
      </w:pPr>
      <w:bookmarkStart w:id="302" w:name="_Toc224984598"/>
      <w:bookmarkStart w:id="303" w:name="_Toc251139831"/>
      <w:bookmarkStart w:id="304" w:name="_Toc314215239"/>
      <w:bookmarkStart w:id="305" w:name="_Toc407633140"/>
      <w:bookmarkStart w:id="306" w:name="_Toc24713426"/>
      <w:bookmarkStart w:id="307" w:name="_Toc217024916"/>
      <w:r w:rsidRPr="002513B4">
        <w:lastRenderedPageBreak/>
        <w:t>Table 9.1</w:t>
      </w:r>
      <w:r w:rsidR="007A68CD" w:rsidRPr="002513B4">
        <w:t xml:space="preserve"> </w:t>
      </w:r>
      <w:r w:rsidRPr="002513B4">
        <w:t>HHCAHPS Survey Disposition Codes</w:t>
      </w:r>
      <w:bookmarkEnd w:id="302"/>
      <w:bookmarkEnd w:id="303"/>
      <w:bookmarkEnd w:id="304"/>
      <w:bookmarkEnd w:id="305"/>
      <w:bookmarkEnd w:id="306"/>
      <w:bookmarkEnd w:id="307"/>
    </w:p>
    <w:tbl>
      <w:tblPr>
        <w:tblW w:w="9360" w:type="dxa"/>
        <w:tblLayout w:type="fixed"/>
        <w:tblCellMar>
          <w:left w:w="115" w:type="dxa"/>
          <w:right w:w="115" w:type="dxa"/>
        </w:tblCellMar>
        <w:tblLook w:val="01E0" w:firstRow="1" w:lastRow="1" w:firstColumn="1" w:lastColumn="1" w:noHBand="0" w:noVBand="0"/>
        <w:tblCaption w:val="List of HHCAHPS Final Survey Disposition Codes and Descriptions"/>
        <w:tblDescription w:val="Table 9.1 lists numerical disposition codes and a  corresponding description of each"/>
      </w:tblPr>
      <w:tblGrid>
        <w:gridCol w:w="1080"/>
        <w:gridCol w:w="7"/>
        <w:gridCol w:w="8273"/>
      </w:tblGrid>
      <w:tr w:rsidR="00EE74F9" w:rsidRPr="002513B4" w14:paraId="3462FF87" w14:textId="77777777" w:rsidTr="007A68CD">
        <w:trPr>
          <w:cantSplit/>
          <w:tblHeader/>
        </w:trPr>
        <w:tc>
          <w:tcPr>
            <w:tcW w:w="1087" w:type="dxa"/>
            <w:gridSpan w:val="2"/>
            <w:tcBorders>
              <w:top w:val="single" w:sz="8" w:space="0" w:color="auto"/>
              <w:bottom w:val="single" w:sz="8" w:space="0" w:color="auto"/>
            </w:tcBorders>
            <w:shd w:val="clear" w:color="auto" w:fill="1F497D"/>
          </w:tcPr>
          <w:p w14:paraId="1DE8BB9E" w14:textId="77777777" w:rsidR="00EE74F9" w:rsidRPr="002513B4" w:rsidRDefault="00EE74F9" w:rsidP="007A68CD">
            <w:pPr>
              <w:pStyle w:val="TableHeaders"/>
              <w:spacing w:before="20" w:after="20"/>
              <w:jc w:val="right"/>
              <w:rPr>
                <w:color w:val="FFFFFF" w:themeColor="background1"/>
                <w:sz w:val="18"/>
                <w:szCs w:val="18"/>
              </w:rPr>
            </w:pPr>
            <w:r w:rsidRPr="002513B4">
              <w:rPr>
                <w:color w:val="FFFFFF" w:themeColor="background1"/>
                <w:sz w:val="18"/>
                <w:szCs w:val="18"/>
              </w:rPr>
              <w:t>Code</w:t>
            </w:r>
          </w:p>
        </w:tc>
        <w:tc>
          <w:tcPr>
            <w:tcW w:w="8273" w:type="dxa"/>
            <w:tcBorders>
              <w:top w:val="single" w:sz="8" w:space="0" w:color="auto"/>
              <w:bottom w:val="single" w:sz="8" w:space="0" w:color="auto"/>
            </w:tcBorders>
            <w:shd w:val="clear" w:color="auto" w:fill="1F497D"/>
            <w:vAlign w:val="bottom"/>
          </w:tcPr>
          <w:p w14:paraId="04726A41" w14:textId="77777777" w:rsidR="00EE74F9" w:rsidRPr="002513B4" w:rsidRDefault="00EE74F9" w:rsidP="00C553FE">
            <w:pPr>
              <w:pStyle w:val="TableHeaders"/>
              <w:spacing w:before="20" w:after="20"/>
              <w:rPr>
                <w:color w:val="FFFFFF" w:themeColor="background1"/>
                <w:sz w:val="18"/>
                <w:szCs w:val="18"/>
              </w:rPr>
            </w:pPr>
            <w:r w:rsidRPr="002513B4">
              <w:rPr>
                <w:color w:val="FFFFFF" w:themeColor="background1"/>
                <w:sz w:val="18"/>
                <w:szCs w:val="18"/>
              </w:rPr>
              <w:t>Description</w:t>
            </w:r>
          </w:p>
        </w:tc>
      </w:tr>
      <w:tr w:rsidR="00EE74F9" w:rsidRPr="002513B4" w14:paraId="1796ACBB" w14:textId="77777777" w:rsidTr="007A68CD">
        <w:trPr>
          <w:cantSplit/>
        </w:trPr>
        <w:tc>
          <w:tcPr>
            <w:tcW w:w="1087" w:type="dxa"/>
            <w:gridSpan w:val="2"/>
            <w:tcBorders>
              <w:top w:val="single" w:sz="8" w:space="0" w:color="auto"/>
            </w:tcBorders>
            <w:tcMar>
              <w:top w:w="43" w:type="dxa"/>
              <w:bottom w:w="29" w:type="dxa"/>
            </w:tcMar>
          </w:tcPr>
          <w:p w14:paraId="54F1B58F" w14:textId="77777777" w:rsidR="00EE74F9" w:rsidRPr="002513B4" w:rsidRDefault="00EE74F9" w:rsidP="007A68CD">
            <w:pPr>
              <w:pStyle w:val="TableText"/>
              <w:spacing w:before="20" w:after="20"/>
              <w:jc w:val="right"/>
              <w:rPr>
                <w:b/>
                <w:sz w:val="18"/>
                <w:szCs w:val="18"/>
              </w:rPr>
            </w:pPr>
            <w:r w:rsidRPr="002513B4">
              <w:rPr>
                <w:b/>
                <w:sz w:val="18"/>
                <w:szCs w:val="18"/>
              </w:rPr>
              <w:t>110</w:t>
            </w:r>
          </w:p>
        </w:tc>
        <w:tc>
          <w:tcPr>
            <w:tcW w:w="8273" w:type="dxa"/>
            <w:tcBorders>
              <w:top w:val="single" w:sz="8" w:space="0" w:color="auto"/>
            </w:tcBorders>
            <w:tcMar>
              <w:top w:w="43" w:type="dxa"/>
              <w:bottom w:w="29" w:type="dxa"/>
            </w:tcMar>
          </w:tcPr>
          <w:p w14:paraId="57CF0EC8" w14:textId="77777777" w:rsidR="00EE74F9" w:rsidRPr="002513B4" w:rsidRDefault="00EE74F9" w:rsidP="007A68CD">
            <w:pPr>
              <w:pStyle w:val="TableText"/>
              <w:spacing w:before="20" w:after="20"/>
              <w:rPr>
                <w:sz w:val="18"/>
                <w:szCs w:val="18"/>
              </w:rPr>
            </w:pPr>
            <w:r w:rsidRPr="002513B4">
              <w:rPr>
                <w:b/>
                <w:sz w:val="18"/>
                <w:szCs w:val="18"/>
              </w:rPr>
              <w:t>Completed Mail Survey</w:t>
            </w:r>
            <w:r w:rsidRPr="002513B4">
              <w:rPr>
                <w:rStyle w:val="FootnoteReference"/>
                <w:rFonts w:ascii="Verdana" w:hAnsi="Verdana"/>
                <w:b/>
                <w:sz w:val="18"/>
                <w:szCs w:val="18"/>
              </w:rPr>
              <w:footnoteReference w:id="11"/>
            </w:r>
          </w:p>
          <w:p w14:paraId="3D76F4B6" w14:textId="77777777" w:rsidR="00EE74F9" w:rsidRPr="002513B4" w:rsidRDefault="00EE74F9" w:rsidP="007A68CD">
            <w:pPr>
              <w:pStyle w:val="TableText"/>
              <w:spacing w:before="20" w:after="20"/>
              <w:rPr>
                <w:sz w:val="18"/>
                <w:szCs w:val="18"/>
              </w:rPr>
            </w:pPr>
            <w:r w:rsidRPr="002513B4">
              <w:rPr>
                <w:sz w:val="18"/>
                <w:szCs w:val="18"/>
              </w:rPr>
              <w:t>The respondent answered at least 50</w:t>
            </w:r>
            <w:r w:rsidR="0060497B" w:rsidRPr="002513B4">
              <w:rPr>
                <w:sz w:val="18"/>
                <w:szCs w:val="18"/>
              </w:rPr>
              <w:t>%</w:t>
            </w:r>
            <w:r w:rsidRPr="002513B4">
              <w:rPr>
                <w:sz w:val="18"/>
                <w:szCs w:val="18"/>
              </w:rPr>
              <w:t xml:space="preserve"> of the questions based on the specific completeness criteria</w:t>
            </w:r>
            <w:r w:rsidR="0060497B" w:rsidRPr="002513B4">
              <w:rPr>
                <w:sz w:val="18"/>
                <w:szCs w:val="18"/>
              </w:rPr>
              <w:t xml:space="preserve"> (provided later in this chapter)</w:t>
            </w:r>
            <w:r w:rsidRPr="002513B4">
              <w:rPr>
                <w:sz w:val="18"/>
                <w:szCs w:val="18"/>
              </w:rPr>
              <w:t xml:space="preserve">. Assign this code for </w:t>
            </w:r>
            <w:proofErr w:type="spellStart"/>
            <w:r w:rsidRPr="002513B4">
              <w:rPr>
                <w:sz w:val="18"/>
                <w:szCs w:val="18"/>
              </w:rPr>
              <w:t>mail</w:t>
            </w:r>
            <w:proofErr w:type="spellEnd"/>
            <w:r w:rsidRPr="002513B4">
              <w:rPr>
                <w:sz w:val="18"/>
                <w:szCs w:val="18"/>
              </w:rPr>
              <w:t xml:space="preserve">-only </w:t>
            </w:r>
            <w:r w:rsidR="0060497B" w:rsidRPr="002513B4">
              <w:rPr>
                <w:sz w:val="18"/>
                <w:szCs w:val="18"/>
              </w:rPr>
              <w:t xml:space="preserve">and mixed-mode </w:t>
            </w:r>
            <w:r w:rsidRPr="002513B4">
              <w:rPr>
                <w:sz w:val="18"/>
                <w:szCs w:val="18"/>
              </w:rPr>
              <w:t>cases if the sample member responded by mail.</w:t>
            </w:r>
          </w:p>
        </w:tc>
      </w:tr>
      <w:tr w:rsidR="00EE74F9" w:rsidRPr="002513B4" w14:paraId="759D1053" w14:textId="77777777" w:rsidTr="007A68CD">
        <w:trPr>
          <w:cantSplit/>
        </w:trPr>
        <w:tc>
          <w:tcPr>
            <w:tcW w:w="1087" w:type="dxa"/>
            <w:gridSpan w:val="2"/>
            <w:tcMar>
              <w:top w:w="43" w:type="dxa"/>
              <w:bottom w:w="29" w:type="dxa"/>
            </w:tcMar>
          </w:tcPr>
          <w:p w14:paraId="0A6D47C5" w14:textId="77777777" w:rsidR="00EE74F9" w:rsidRPr="002513B4" w:rsidRDefault="00EE74F9" w:rsidP="007A68CD">
            <w:pPr>
              <w:pStyle w:val="TableText"/>
              <w:spacing w:before="20" w:after="20"/>
              <w:jc w:val="right"/>
              <w:rPr>
                <w:b/>
                <w:sz w:val="18"/>
                <w:szCs w:val="18"/>
              </w:rPr>
            </w:pPr>
            <w:r w:rsidRPr="002513B4">
              <w:rPr>
                <w:b/>
                <w:sz w:val="18"/>
                <w:szCs w:val="18"/>
              </w:rPr>
              <w:t>120</w:t>
            </w:r>
          </w:p>
        </w:tc>
        <w:tc>
          <w:tcPr>
            <w:tcW w:w="8273" w:type="dxa"/>
            <w:tcMar>
              <w:top w:w="43" w:type="dxa"/>
              <w:bottom w:w="29" w:type="dxa"/>
            </w:tcMar>
          </w:tcPr>
          <w:p w14:paraId="1D670F22" w14:textId="77777777" w:rsidR="00EE74F9" w:rsidRPr="002513B4" w:rsidRDefault="00EE74F9" w:rsidP="007A68CD">
            <w:pPr>
              <w:pStyle w:val="TableText"/>
              <w:spacing w:before="20" w:after="20"/>
              <w:rPr>
                <w:b/>
                <w:sz w:val="18"/>
                <w:szCs w:val="18"/>
              </w:rPr>
            </w:pPr>
            <w:r w:rsidRPr="002513B4">
              <w:rPr>
                <w:b/>
                <w:sz w:val="18"/>
                <w:szCs w:val="18"/>
              </w:rPr>
              <w:t>Completed Phone Interview</w:t>
            </w:r>
          </w:p>
          <w:p w14:paraId="15BC5888" w14:textId="77777777" w:rsidR="00EE74F9" w:rsidRPr="002513B4" w:rsidRDefault="00EE74F9" w:rsidP="007A68CD">
            <w:pPr>
              <w:pStyle w:val="TableText"/>
              <w:spacing w:before="20" w:after="20"/>
              <w:rPr>
                <w:sz w:val="18"/>
                <w:szCs w:val="18"/>
              </w:rPr>
            </w:pPr>
            <w:r w:rsidRPr="002513B4">
              <w:rPr>
                <w:sz w:val="18"/>
                <w:szCs w:val="18"/>
              </w:rPr>
              <w:t>The respondent answered at least 50</w:t>
            </w:r>
            <w:r w:rsidR="0060497B" w:rsidRPr="002513B4">
              <w:rPr>
                <w:sz w:val="18"/>
                <w:szCs w:val="18"/>
              </w:rPr>
              <w:t>%</w:t>
            </w:r>
            <w:r w:rsidRPr="002513B4">
              <w:rPr>
                <w:sz w:val="18"/>
                <w:szCs w:val="18"/>
              </w:rPr>
              <w:t xml:space="preserve"> of the questions based on the specific completeness criteria</w:t>
            </w:r>
            <w:r w:rsidR="0060497B" w:rsidRPr="002513B4">
              <w:rPr>
                <w:sz w:val="18"/>
                <w:szCs w:val="18"/>
              </w:rPr>
              <w:t xml:space="preserve"> (provided later in this chapter)</w:t>
            </w:r>
            <w:r w:rsidRPr="002513B4">
              <w:rPr>
                <w:sz w:val="18"/>
                <w:szCs w:val="18"/>
              </w:rPr>
              <w:t xml:space="preserve">. Assign this code </w:t>
            </w:r>
            <w:r w:rsidR="0060497B" w:rsidRPr="002513B4">
              <w:rPr>
                <w:sz w:val="18"/>
                <w:szCs w:val="18"/>
              </w:rPr>
              <w:t>for</w:t>
            </w:r>
            <w:r w:rsidRPr="002513B4">
              <w:rPr>
                <w:sz w:val="18"/>
                <w:szCs w:val="18"/>
              </w:rPr>
              <w:t xml:space="preserve"> </w:t>
            </w:r>
            <w:r w:rsidR="0060497B" w:rsidRPr="002513B4">
              <w:rPr>
                <w:sz w:val="18"/>
                <w:szCs w:val="18"/>
              </w:rPr>
              <w:t xml:space="preserve">phone-only and mixed-mode cases if the </w:t>
            </w:r>
            <w:r w:rsidRPr="002513B4">
              <w:rPr>
                <w:sz w:val="18"/>
                <w:szCs w:val="18"/>
              </w:rPr>
              <w:t>interview was completed by phone.</w:t>
            </w:r>
          </w:p>
        </w:tc>
      </w:tr>
      <w:tr w:rsidR="00EE74F9" w:rsidRPr="002513B4" w14:paraId="43E17454" w14:textId="77777777" w:rsidTr="007A68CD">
        <w:trPr>
          <w:cantSplit/>
        </w:trPr>
        <w:tc>
          <w:tcPr>
            <w:tcW w:w="1087" w:type="dxa"/>
            <w:gridSpan w:val="2"/>
            <w:tcMar>
              <w:top w:w="43" w:type="dxa"/>
              <w:bottom w:w="29" w:type="dxa"/>
            </w:tcMar>
          </w:tcPr>
          <w:p w14:paraId="258845D4" w14:textId="77777777" w:rsidR="00EE74F9" w:rsidRPr="002513B4" w:rsidRDefault="00EE74F9" w:rsidP="007A68CD">
            <w:pPr>
              <w:pStyle w:val="TableText"/>
              <w:spacing w:before="20" w:after="20"/>
              <w:jc w:val="right"/>
              <w:rPr>
                <w:b/>
                <w:sz w:val="18"/>
                <w:szCs w:val="18"/>
              </w:rPr>
            </w:pPr>
            <w:r w:rsidRPr="002513B4">
              <w:rPr>
                <w:b/>
                <w:sz w:val="18"/>
                <w:szCs w:val="18"/>
              </w:rPr>
              <w:t>210</w:t>
            </w:r>
          </w:p>
        </w:tc>
        <w:tc>
          <w:tcPr>
            <w:tcW w:w="8273" w:type="dxa"/>
            <w:tcMar>
              <w:top w:w="43" w:type="dxa"/>
              <w:bottom w:w="29" w:type="dxa"/>
            </w:tcMar>
          </w:tcPr>
          <w:p w14:paraId="77EB8B49" w14:textId="77777777" w:rsidR="00EE74F9" w:rsidRPr="002513B4" w:rsidRDefault="00EE74F9" w:rsidP="007A68CD">
            <w:pPr>
              <w:pStyle w:val="TableText"/>
              <w:spacing w:before="20" w:after="20"/>
              <w:rPr>
                <w:b/>
                <w:sz w:val="18"/>
                <w:szCs w:val="18"/>
              </w:rPr>
            </w:pPr>
            <w:r w:rsidRPr="002513B4">
              <w:rPr>
                <w:b/>
                <w:sz w:val="18"/>
                <w:szCs w:val="18"/>
              </w:rPr>
              <w:t>Ineligible: Deceased</w:t>
            </w:r>
          </w:p>
          <w:p w14:paraId="224B7558" w14:textId="540A9A51" w:rsidR="00EE74F9" w:rsidRPr="002513B4" w:rsidRDefault="005A7C9D" w:rsidP="007A68CD">
            <w:pPr>
              <w:pStyle w:val="TableText"/>
              <w:spacing w:before="20" w:after="20"/>
              <w:rPr>
                <w:sz w:val="18"/>
                <w:szCs w:val="18"/>
              </w:rPr>
            </w:pPr>
            <w:r w:rsidRPr="002513B4">
              <w:rPr>
                <w:rFonts w:cs="Arial"/>
                <w:sz w:val="18"/>
                <w:szCs w:val="18"/>
              </w:rPr>
              <w:t xml:space="preserve">This code can be used in all three approved data collection modes. </w:t>
            </w:r>
            <w:r w:rsidR="00EE74F9" w:rsidRPr="002513B4">
              <w:rPr>
                <w:sz w:val="18"/>
                <w:szCs w:val="18"/>
              </w:rPr>
              <w:t xml:space="preserve">Assign this code if the sample member is reported as deceased </w:t>
            </w:r>
            <w:proofErr w:type="gramStart"/>
            <w:r w:rsidR="00EE74F9" w:rsidRPr="002513B4">
              <w:rPr>
                <w:sz w:val="18"/>
                <w:szCs w:val="18"/>
              </w:rPr>
              <w:t>during the course of</w:t>
            </w:r>
            <w:proofErr w:type="gramEnd"/>
            <w:r w:rsidR="00EE74F9" w:rsidRPr="002513B4">
              <w:rPr>
                <w:sz w:val="18"/>
                <w:szCs w:val="18"/>
              </w:rPr>
              <w:t xml:space="preserve"> the </w:t>
            </w:r>
            <w:r w:rsidR="00FD2FA7" w:rsidRPr="002513B4">
              <w:rPr>
                <w:sz w:val="18"/>
                <w:szCs w:val="18"/>
              </w:rPr>
              <w:t xml:space="preserve">data collection </w:t>
            </w:r>
            <w:r w:rsidR="00EE74F9" w:rsidRPr="002513B4">
              <w:rPr>
                <w:sz w:val="18"/>
                <w:szCs w:val="18"/>
              </w:rPr>
              <w:t>period.</w:t>
            </w:r>
          </w:p>
        </w:tc>
      </w:tr>
      <w:tr w:rsidR="00EE74F9" w:rsidRPr="002513B4" w14:paraId="1DFC0517" w14:textId="77777777" w:rsidTr="007A68CD">
        <w:trPr>
          <w:cantSplit/>
        </w:trPr>
        <w:tc>
          <w:tcPr>
            <w:tcW w:w="1087" w:type="dxa"/>
            <w:gridSpan w:val="2"/>
            <w:tcMar>
              <w:top w:w="43" w:type="dxa"/>
              <w:bottom w:w="29" w:type="dxa"/>
            </w:tcMar>
          </w:tcPr>
          <w:p w14:paraId="3B389FAB" w14:textId="77777777" w:rsidR="00EE74F9" w:rsidRPr="002513B4" w:rsidRDefault="00EE74F9" w:rsidP="007A68CD">
            <w:pPr>
              <w:pStyle w:val="TableText"/>
              <w:spacing w:before="20" w:after="20"/>
              <w:jc w:val="right"/>
              <w:rPr>
                <w:b/>
                <w:sz w:val="18"/>
                <w:szCs w:val="18"/>
              </w:rPr>
            </w:pPr>
            <w:r w:rsidRPr="002513B4">
              <w:rPr>
                <w:b/>
                <w:sz w:val="18"/>
                <w:szCs w:val="18"/>
              </w:rPr>
              <w:t>220</w:t>
            </w:r>
          </w:p>
        </w:tc>
        <w:tc>
          <w:tcPr>
            <w:tcW w:w="8273" w:type="dxa"/>
            <w:tcMar>
              <w:top w:w="43" w:type="dxa"/>
              <w:bottom w:w="29" w:type="dxa"/>
            </w:tcMar>
          </w:tcPr>
          <w:p w14:paraId="06524535" w14:textId="77777777" w:rsidR="00EE74F9" w:rsidRPr="002513B4" w:rsidRDefault="00EE74F9" w:rsidP="007A68CD">
            <w:pPr>
              <w:pStyle w:val="TableText"/>
              <w:spacing w:before="20" w:after="20"/>
              <w:rPr>
                <w:sz w:val="18"/>
                <w:szCs w:val="18"/>
              </w:rPr>
            </w:pPr>
            <w:r w:rsidRPr="002513B4">
              <w:rPr>
                <w:b/>
                <w:sz w:val="18"/>
                <w:szCs w:val="18"/>
              </w:rPr>
              <w:t>Ineligible: Does Not Meet Eligible Population Criteria</w:t>
            </w:r>
            <w:r w:rsidRPr="002513B4">
              <w:rPr>
                <w:rStyle w:val="FootnoteReference"/>
                <w:rFonts w:ascii="Verdana" w:hAnsi="Verdana"/>
                <w:b/>
                <w:sz w:val="18"/>
                <w:szCs w:val="18"/>
              </w:rPr>
              <w:footnoteReference w:id="12"/>
            </w:r>
          </w:p>
          <w:p w14:paraId="1D35ACD1" w14:textId="1CC56820" w:rsidR="00EE74F9" w:rsidRPr="002513B4" w:rsidRDefault="005A7C9D" w:rsidP="007A68CD">
            <w:pPr>
              <w:pStyle w:val="TableText"/>
              <w:spacing w:before="20" w:after="20"/>
              <w:rPr>
                <w:sz w:val="18"/>
                <w:szCs w:val="18"/>
              </w:rPr>
            </w:pPr>
            <w:r w:rsidRPr="002513B4">
              <w:rPr>
                <w:rFonts w:cs="Arial"/>
                <w:sz w:val="18"/>
                <w:szCs w:val="18"/>
              </w:rPr>
              <w:t xml:space="preserve">This code can be used in all three approved data collection modes. </w:t>
            </w:r>
            <w:r w:rsidR="00EE74F9" w:rsidRPr="002513B4">
              <w:rPr>
                <w:sz w:val="18"/>
                <w:szCs w:val="18"/>
              </w:rPr>
              <w:t xml:space="preserve">Assign this code if it is determined during the data collection period that the sample member does not meet </w:t>
            </w:r>
            <w:proofErr w:type="gramStart"/>
            <w:r w:rsidR="00EE74F9" w:rsidRPr="002513B4">
              <w:rPr>
                <w:sz w:val="18"/>
                <w:szCs w:val="18"/>
              </w:rPr>
              <w:t>all of</w:t>
            </w:r>
            <w:proofErr w:type="gramEnd"/>
            <w:r w:rsidR="00EE74F9" w:rsidRPr="002513B4">
              <w:rPr>
                <w:sz w:val="18"/>
                <w:szCs w:val="18"/>
              </w:rPr>
              <w:t xml:space="preserve"> the required eligibility criteria for being included in the survey sample. This includes the following:</w:t>
            </w:r>
          </w:p>
          <w:p w14:paraId="2F3387FF" w14:textId="77777777" w:rsidR="00EE74F9" w:rsidRPr="002513B4" w:rsidRDefault="00EE74F9" w:rsidP="007A68CD">
            <w:pPr>
              <w:pStyle w:val="Tablebullet1"/>
              <w:spacing w:before="20" w:after="20"/>
              <w:rPr>
                <w:rFonts w:ascii="Verdana" w:hAnsi="Verdana"/>
                <w:sz w:val="18"/>
                <w:szCs w:val="18"/>
              </w:rPr>
            </w:pPr>
            <w:r w:rsidRPr="002513B4">
              <w:rPr>
                <w:rFonts w:ascii="Verdana" w:hAnsi="Verdana"/>
                <w:sz w:val="18"/>
                <w:szCs w:val="18"/>
              </w:rPr>
              <w:t>The sample member is under age 18.</w:t>
            </w:r>
          </w:p>
          <w:p w14:paraId="66F512B5" w14:textId="77777777" w:rsidR="00EE74F9" w:rsidRPr="002513B4" w:rsidRDefault="00EE74F9" w:rsidP="007A68CD">
            <w:pPr>
              <w:pStyle w:val="Tablebullet1"/>
              <w:spacing w:before="20" w:after="20"/>
              <w:rPr>
                <w:rFonts w:ascii="Verdana" w:hAnsi="Verdana"/>
                <w:sz w:val="18"/>
                <w:szCs w:val="18"/>
              </w:rPr>
            </w:pPr>
            <w:r w:rsidRPr="002513B4">
              <w:rPr>
                <w:rFonts w:ascii="Verdana" w:hAnsi="Verdana"/>
                <w:sz w:val="18"/>
                <w:szCs w:val="18"/>
              </w:rPr>
              <w:t>The sample member’s home health care was not paid for by either Medicare or Medicaid.</w:t>
            </w:r>
          </w:p>
          <w:p w14:paraId="62DB981F" w14:textId="77777777" w:rsidR="00EE74F9" w:rsidRPr="002513B4" w:rsidRDefault="00EE74F9" w:rsidP="007A68CD">
            <w:pPr>
              <w:pStyle w:val="Tablebullet1"/>
              <w:spacing w:before="20" w:after="20"/>
              <w:rPr>
                <w:rFonts w:ascii="Verdana" w:hAnsi="Verdana"/>
                <w:sz w:val="18"/>
                <w:szCs w:val="18"/>
              </w:rPr>
            </w:pPr>
            <w:r w:rsidRPr="002513B4">
              <w:rPr>
                <w:rFonts w:ascii="Verdana" w:hAnsi="Verdana"/>
                <w:sz w:val="18"/>
                <w:szCs w:val="18"/>
              </w:rPr>
              <w:t xml:space="preserve">The sample member reports that </w:t>
            </w:r>
            <w:r w:rsidR="00F46901" w:rsidRPr="002513B4">
              <w:rPr>
                <w:rFonts w:ascii="Verdana" w:hAnsi="Verdana"/>
                <w:sz w:val="18"/>
                <w:szCs w:val="18"/>
              </w:rPr>
              <w:t>they do</w:t>
            </w:r>
            <w:r w:rsidRPr="002513B4">
              <w:rPr>
                <w:rFonts w:ascii="Verdana" w:hAnsi="Verdana"/>
                <w:sz w:val="18"/>
                <w:szCs w:val="18"/>
              </w:rPr>
              <w:t xml:space="preserve"> not have at least one skilled care visit by the </w:t>
            </w:r>
            <w:r w:rsidR="0060497B" w:rsidRPr="002513B4">
              <w:rPr>
                <w:rFonts w:ascii="Verdana" w:hAnsi="Verdana"/>
                <w:sz w:val="18"/>
                <w:szCs w:val="18"/>
              </w:rPr>
              <w:t xml:space="preserve">named </w:t>
            </w:r>
            <w:r w:rsidRPr="002513B4">
              <w:rPr>
                <w:rFonts w:ascii="Verdana" w:hAnsi="Verdana"/>
                <w:sz w:val="18"/>
                <w:szCs w:val="18"/>
              </w:rPr>
              <w:t>HHA during the sample month.</w:t>
            </w:r>
          </w:p>
          <w:p w14:paraId="1D67CC75" w14:textId="77777777" w:rsidR="00EE74F9" w:rsidRPr="002513B4" w:rsidRDefault="00EE74F9" w:rsidP="007A68CD">
            <w:pPr>
              <w:pStyle w:val="Tablebullet1"/>
              <w:spacing w:before="20" w:after="20"/>
              <w:rPr>
                <w:rFonts w:ascii="Verdana" w:hAnsi="Verdana"/>
                <w:sz w:val="18"/>
                <w:szCs w:val="18"/>
              </w:rPr>
            </w:pPr>
            <w:r w:rsidRPr="002513B4">
              <w:rPr>
                <w:rFonts w:ascii="Verdana" w:hAnsi="Verdana"/>
                <w:sz w:val="18"/>
                <w:szCs w:val="18"/>
              </w:rPr>
              <w:t>The sample member reports that the home health visits she received were for routine maternity care only.</w:t>
            </w:r>
          </w:p>
          <w:p w14:paraId="321B6D43" w14:textId="77777777" w:rsidR="00EE74F9" w:rsidRPr="002513B4" w:rsidRDefault="00EE74F9" w:rsidP="007A68CD">
            <w:pPr>
              <w:pStyle w:val="Tablebullet1"/>
              <w:spacing w:before="20" w:after="20"/>
              <w:rPr>
                <w:rFonts w:ascii="Verdana" w:hAnsi="Verdana"/>
                <w:sz w:val="18"/>
                <w:szCs w:val="18"/>
              </w:rPr>
            </w:pPr>
            <w:r w:rsidRPr="002513B4">
              <w:rPr>
                <w:rFonts w:ascii="Verdana" w:hAnsi="Verdana"/>
                <w:sz w:val="18"/>
                <w:szCs w:val="18"/>
              </w:rPr>
              <w:t>It is reported that the sample member was discharged to hospice care during the sample month.</w:t>
            </w:r>
          </w:p>
          <w:p w14:paraId="613B6520" w14:textId="77777777" w:rsidR="00EE74F9" w:rsidRPr="002513B4" w:rsidRDefault="00EE74F9" w:rsidP="007A68CD">
            <w:pPr>
              <w:pStyle w:val="Tablebullet1"/>
              <w:spacing w:before="20" w:after="20"/>
              <w:rPr>
                <w:rFonts w:ascii="Verdana" w:hAnsi="Verdana"/>
                <w:sz w:val="18"/>
                <w:szCs w:val="18"/>
              </w:rPr>
            </w:pPr>
            <w:r w:rsidRPr="002513B4">
              <w:rPr>
                <w:rFonts w:ascii="Verdana" w:hAnsi="Verdana"/>
                <w:sz w:val="18"/>
                <w:szCs w:val="18"/>
              </w:rPr>
              <w:t xml:space="preserve">The sample member answers “No” to Q1 </w:t>
            </w:r>
            <w:r w:rsidRPr="002513B4">
              <w:rPr>
                <w:rFonts w:ascii="Verdana" w:hAnsi="Verdana"/>
                <w:b/>
                <w:bCs/>
                <w:i/>
                <w:iCs/>
                <w:sz w:val="18"/>
                <w:szCs w:val="18"/>
              </w:rPr>
              <w:t>and</w:t>
            </w:r>
            <w:r w:rsidRPr="002513B4">
              <w:rPr>
                <w:rFonts w:ascii="Verdana" w:hAnsi="Verdana"/>
                <w:sz w:val="18"/>
                <w:szCs w:val="18"/>
              </w:rPr>
              <w:t xml:space="preserve"> no additional questions in the </w:t>
            </w:r>
            <w:r w:rsidR="00FD2FA7" w:rsidRPr="002513B4">
              <w:rPr>
                <w:rFonts w:ascii="Verdana" w:hAnsi="Verdana"/>
                <w:sz w:val="18"/>
                <w:szCs w:val="18"/>
              </w:rPr>
              <w:t xml:space="preserve">mail </w:t>
            </w:r>
            <w:r w:rsidRPr="002513B4">
              <w:rPr>
                <w:rFonts w:ascii="Verdana" w:hAnsi="Verdana"/>
                <w:sz w:val="18"/>
                <w:szCs w:val="18"/>
              </w:rPr>
              <w:t>survey instrument are answered.</w:t>
            </w:r>
          </w:p>
          <w:p w14:paraId="3EA368E6" w14:textId="2C044210" w:rsidR="00EE74F9" w:rsidRPr="002513B4" w:rsidRDefault="00EE74F9" w:rsidP="007A68CD">
            <w:pPr>
              <w:pStyle w:val="TableText"/>
              <w:spacing w:before="20" w:after="20"/>
              <w:rPr>
                <w:sz w:val="18"/>
                <w:szCs w:val="18"/>
              </w:rPr>
            </w:pPr>
            <w:r w:rsidRPr="002513B4">
              <w:rPr>
                <w:sz w:val="18"/>
                <w:szCs w:val="18"/>
              </w:rPr>
              <w:t xml:space="preserve">A full listing of eligibility criteria is provided in </w:t>
            </w:r>
            <w:r w:rsidR="002811CD" w:rsidRPr="002513B4">
              <w:rPr>
                <w:b/>
                <w:bCs/>
                <w:i/>
                <w:sz w:val="18"/>
                <w:szCs w:val="18"/>
              </w:rPr>
              <w:t>Section 4.3.2</w:t>
            </w:r>
            <w:r w:rsidRPr="002513B4">
              <w:rPr>
                <w:sz w:val="18"/>
                <w:szCs w:val="18"/>
              </w:rPr>
              <w:t>.</w:t>
            </w:r>
          </w:p>
        </w:tc>
      </w:tr>
      <w:tr w:rsidR="00EE74F9" w:rsidRPr="002513B4" w14:paraId="5C38B028" w14:textId="77777777" w:rsidTr="007A68CD">
        <w:trPr>
          <w:cantSplit/>
        </w:trPr>
        <w:tc>
          <w:tcPr>
            <w:tcW w:w="1087" w:type="dxa"/>
            <w:gridSpan w:val="2"/>
            <w:tcMar>
              <w:top w:w="43" w:type="dxa"/>
              <w:bottom w:w="29" w:type="dxa"/>
            </w:tcMar>
          </w:tcPr>
          <w:p w14:paraId="685C0C69" w14:textId="77777777" w:rsidR="00EE74F9" w:rsidRPr="002513B4" w:rsidRDefault="00EE74F9" w:rsidP="007A68CD">
            <w:pPr>
              <w:pStyle w:val="TableText"/>
              <w:spacing w:before="20" w:after="20"/>
              <w:jc w:val="right"/>
              <w:rPr>
                <w:b/>
                <w:sz w:val="18"/>
                <w:szCs w:val="18"/>
              </w:rPr>
            </w:pPr>
            <w:r w:rsidRPr="002513B4">
              <w:rPr>
                <w:b/>
                <w:sz w:val="18"/>
                <w:szCs w:val="18"/>
              </w:rPr>
              <w:t>230</w:t>
            </w:r>
          </w:p>
        </w:tc>
        <w:tc>
          <w:tcPr>
            <w:tcW w:w="8273" w:type="dxa"/>
            <w:tcMar>
              <w:top w:w="43" w:type="dxa"/>
              <w:bottom w:w="29" w:type="dxa"/>
            </w:tcMar>
          </w:tcPr>
          <w:p w14:paraId="2E54F5CE" w14:textId="77777777" w:rsidR="00EE74F9" w:rsidRPr="002513B4" w:rsidRDefault="00EE74F9" w:rsidP="007A68CD">
            <w:pPr>
              <w:pStyle w:val="TableText"/>
              <w:spacing w:before="20" w:after="20"/>
              <w:rPr>
                <w:b/>
                <w:sz w:val="18"/>
                <w:szCs w:val="18"/>
              </w:rPr>
            </w:pPr>
            <w:r w:rsidRPr="002513B4">
              <w:rPr>
                <w:b/>
                <w:sz w:val="18"/>
                <w:szCs w:val="18"/>
              </w:rPr>
              <w:t>Ineligible: Language Barrier</w:t>
            </w:r>
          </w:p>
          <w:p w14:paraId="0C66BBA0" w14:textId="03AE79AD" w:rsidR="00EE74F9" w:rsidRPr="002513B4" w:rsidRDefault="005A7C9D" w:rsidP="007A68CD">
            <w:pPr>
              <w:pStyle w:val="TableText"/>
              <w:spacing w:before="20" w:after="20"/>
              <w:rPr>
                <w:sz w:val="18"/>
                <w:szCs w:val="18"/>
              </w:rPr>
            </w:pPr>
            <w:r w:rsidRPr="002513B4">
              <w:rPr>
                <w:rFonts w:cs="Arial"/>
                <w:sz w:val="18"/>
                <w:szCs w:val="18"/>
              </w:rPr>
              <w:t xml:space="preserve">This code can be used in all three approved data collection modes. </w:t>
            </w:r>
            <w:r w:rsidR="00EE74F9" w:rsidRPr="002513B4">
              <w:rPr>
                <w:sz w:val="18"/>
                <w:szCs w:val="18"/>
              </w:rPr>
              <w:t>Assign this code to sample members who do not speak any of the HHCAHPS Survey language(s) which the vendor is administering for that HHA. The language barrier code only applies to the sample member and should not be assigned until a determination is made that the sample member cannot speak the language(s) being administered.</w:t>
            </w:r>
          </w:p>
        </w:tc>
      </w:tr>
      <w:tr w:rsidR="00EE74F9" w:rsidRPr="002513B4" w14:paraId="43C9B1BB" w14:textId="77777777" w:rsidTr="007A68CD">
        <w:trPr>
          <w:cantSplit/>
        </w:trPr>
        <w:tc>
          <w:tcPr>
            <w:tcW w:w="1080" w:type="dxa"/>
            <w:tcMar>
              <w:top w:w="58" w:type="dxa"/>
              <w:bottom w:w="58" w:type="dxa"/>
            </w:tcMar>
          </w:tcPr>
          <w:p w14:paraId="05CACFDE" w14:textId="77777777" w:rsidR="00EE74F9" w:rsidRPr="002513B4" w:rsidRDefault="00EE74F9" w:rsidP="007A68CD">
            <w:pPr>
              <w:pStyle w:val="TableText"/>
              <w:spacing w:before="20" w:after="20"/>
              <w:jc w:val="right"/>
              <w:rPr>
                <w:b/>
                <w:sz w:val="18"/>
                <w:szCs w:val="18"/>
              </w:rPr>
            </w:pPr>
            <w:r w:rsidRPr="002513B4">
              <w:rPr>
                <w:b/>
                <w:sz w:val="18"/>
                <w:szCs w:val="18"/>
              </w:rPr>
              <w:t>240</w:t>
            </w:r>
          </w:p>
        </w:tc>
        <w:tc>
          <w:tcPr>
            <w:tcW w:w="8280" w:type="dxa"/>
            <w:gridSpan w:val="2"/>
            <w:tcMar>
              <w:top w:w="58" w:type="dxa"/>
              <w:bottom w:w="58" w:type="dxa"/>
            </w:tcMar>
          </w:tcPr>
          <w:p w14:paraId="50952940" w14:textId="77777777" w:rsidR="00EE74F9" w:rsidRPr="002513B4" w:rsidRDefault="00EE74F9" w:rsidP="007A68CD">
            <w:pPr>
              <w:pStyle w:val="TableText"/>
              <w:spacing w:before="20" w:after="20"/>
              <w:rPr>
                <w:b/>
                <w:sz w:val="18"/>
                <w:szCs w:val="18"/>
              </w:rPr>
            </w:pPr>
            <w:r w:rsidRPr="002513B4">
              <w:rPr>
                <w:b/>
                <w:sz w:val="18"/>
                <w:szCs w:val="18"/>
              </w:rPr>
              <w:t>Ineligible: Mentally or Physically Incapacitated/No Proxy Available</w:t>
            </w:r>
          </w:p>
          <w:p w14:paraId="055C5F89" w14:textId="77777777" w:rsidR="00EE74F9" w:rsidRPr="002513B4" w:rsidRDefault="005A7C9D" w:rsidP="007A68CD">
            <w:pPr>
              <w:pStyle w:val="TableText"/>
              <w:spacing w:before="20" w:after="20"/>
              <w:rPr>
                <w:bCs/>
                <w:sz w:val="18"/>
                <w:szCs w:val="18"/>
              </w:rPr>
            </w:pPr>
            <w:r w:rsidRPr="002513B4">
              <w:rPr>
                <w:rFonts w:cs="Arial"/>
                <w:bCs/>
                <w:sz w:val="18"/>
                <w:szCs w:val="18"/>
              </w:rPr>
              <w:t xml:space="preserve">This code can be used in all three approved data collection modes. </w:t>
            </w:r>
            <w:r w:rsidR="00EE74F9" w:rsidRPr="002513B4">
              <w:rPr>
                <w:bCs/>
                <w:sz w:val="18"/>
                <w:szCs w:val="18"/>
              </w:rPr>
              <w:t xml:space="preserve">Assign this code if it is determined that the sample member is unable to complete the survey because </w:t>
            </w:r>
            <w:r w:rsidR="00F46901" w:rsidRPr="002513B4">
              <w:rPr>
                <w:bCs/>
                <w:sz w:val="18"/>
                <w:szCs w:val="18"/>
              </w:rPr>
              <w:t>they are</w:t>
            </w:r>
            <w:r w:rsidR="00EE74F9" w:rsidRPr="002513B4">
              <w:rPr>
                <w:bCs/>
                <w:sz w:val="18"/>
                <w:szCs w:val="18"/>
              </w:rPr>
              <w:t xml:space="preserve"> mentally or physically incapable </w:t>
            </w:r>
            <w:r w:rsidR="00EE74F9" w:rsidRPr="002513B4">
              <w:rPr>
                <w:b/>
                <w:i/>
                <w:iCs/>
                <w:sz w:val="18"/>
                <w:szCs w:val="18"/>
              </w:rPr>
              <w:t>and</w:t>
            </w:r>
            <w:r w:rsidR="00EE74F9" w:rsidRPr="002513B4">
              <w:rPr>
                <w:bCs/>
                <w:sz w:val="18"/>
                <w:szCs w:val="18"/>
              </w:rPr>
              <w:t xml:space="preserve"> no proxy is available to complete the survey on his or her behalf. This includes sample members who are visually impaired (for mail surveys only) or hearing impaired (for telephone surveys only).</w:t>
            </w:r>
          </w:p>
        </w:tc>
      </w:tr>
      <w:tr w:rsidR="00EE74F9" w:rsidRPr="002513B4" w14:paraId="0F2B1DEB" w14:textId="77777777" w:rsidTr="007A68CD">
        <w:trPr>
          <w:cantSplit/>
        </w:trPr>
        <w:tc>
          <w:tcPr>
            <w:tcW w:w="1080" w:type="dxa"/>
            <w:tcMar>
              <w:top w:w="58" w:type="dxa"/>
              <w:bottom w:w="58" w:type="dxa"/>
            </w:tcMar>
          </w:tcPr>
          <w:p w14:paraId="754B729A" w14:textId="77777777" w:rsidR="00EE74F9" w:rsidRPr="002513B4" w:rsidRDefault="00EE74F9" w:rsidP="007A68CD">
            <w:pPr>
              <w:pStyle w:val="TableText"/>
              <w:jc w:val="right"/>
              <w:rPr>
                <w:b/>
                <w:sz w:val="18"/>
                <w:szCs w:val="18"/>
              </w:rPr>
            </w:pPr>
            <w:r w:rsidRPr="002513B4">
              <w:rPr>
                <w:b/>
                <w:sz w:val="18"/>
                <w:szCs w:val="18"/>
              </w:rPr>
              <w:lastRenderedPageBreak/>
              <w:t>310</w:t>
            </w:r>
          </w:p>
        </w:tc>
        <w:tc>
          <w:tcPr>
            <w:tcW w:w="8280" w:type="dxa"/>
            <w:gridSpan w:val="2"/>
            <w:tcMar>
              <w:top w:w="58" w:type="dxa"/>
              <w:bottom w:w="58" w:type="dxa"/>
            </w:tcMar>
          </w:tcPr>
          <w:p w14:paraId="6A786B6A" w14:textId="77777777" w:rsidR="00EE74F9" w:rsidRPr="002513B4" w:rsidRDefault="00EE74F9" w:rsidP="007A68CD">
            <w:pPr>
              <w:pStyle w:val="TableText"/>
              <w:rPr>
                <w:b/>
                <w:sz w:val="18"/>
                <w:szCs w:val="18"/>
              </w:rPr>
            </w:pPr>
            <w:r w:rsidRPr="002513B4">
              <w:rPr>
                <w:b/>
                <w:sz w:val="18"/>
                <w:szCs w:val="18"/>
              </w:rPr>
              <w:t>Break-Off</w:t>
            </w:r>
          </w:p>
          <w:p w14:paraId="28BDA9E2" w14:textId="77777777" w:rsidR="00EE74F9" w:rsidRPr="002513B4" w:rsidRDefault="005A7C9D" w:rsidP="007A68CD">
            <w:pPr>
              <w:pStyle w:val="TableText"/>
              <w:rPr>
                <w:bCs/>
                <w:sz w:val="18"/>
                <w:szCs w:val="18"/>
              </w:rPr>
            </w:pPr>
            <w:r w:rsidRPr="002513B4">
              <w:rPr>
                <w:rFonts w:cs="Arial"/>
                <w:bCs/>
                <w:sz w:val="18"/>
                <w:szCs w:val="18"/>
              </w:rPr>
              <w:t xml:space="preserve">This code can be used in all three approved data collection modes. </w:t>
            </w:r>
            <w:r w:rsidR="00EE74F9" w:rsidRPr="002513B4">
              <w:rPr>
                <w:bCs/>
                <w:sz w:val="18"/>
                <w:szCs w:val="18"/>
              </w:rPr>
              <w:t>Assign this code if the sample member completes some responses but not enough to meet the completeness criteria</w:t>
            </w:r>
            <w:r w:rsidR="004E74FE" w:rsidRPr="002513B4">
              <w:rPr>
                <w:bCs/>
                <w:sz w:val="18"/>
                <w:szCs w:val="18"/>
              </w:rPr>
              <w:t xml:space="preserve"> (provided later in this chapter)</w:t>
            </w:r>
            <w:r w:rsidR="00EE74F9" w:rsidRPr="002513B4">
              <w:rPr>
                <w:bCs/>
                <w:sz w:val="18"/>
                <w:szCs w:val="18"/>
              </w:rPr>
              <w:t>.</w:t>
            </w:r>
          </w:p>
        </w:tc>
      </w:tr>
      <w:tr w:rsidR="00EE74F9" w:rsidRPr="002513B4" w14:paraId="1B8901C6" w14:textId="77777777" w:rsidTr="007A68CD">
        <w:trPr>
          <w:cantSplit/>
        </w:trPr>
        <w:tc>
          <w:tcPr>
            <w:tcW w:w="1080" w:type="dxa"/>
            <w:tcMar>
              <w:top w:w="58" w:type="dxa"/>
              <w:bottom w:w="58" w:type="dxa"/>
            </w:tcMar>
          </w:tcPr>
          <w:p w14:paraId="0427798C" w14:textId="77777777" w:rsidR="00EE74F9" w:rsidRPr="002513B4" w:rsidRDefault="00EE74F9" w:rsidP="007A68CD">
            <w:pPr>
              <w:pStyle w:val="TableText"/>
              <w:jc w:val="right"/>
              <w:rPr>
                <w:b/>
                <w:sz w:val="18"/>
                <w:szCs w:val="18"/>
              </w:rPr>
            </w:pPr>
            <w:r w:rsidRPr="002513B4">
              <w:rPr>
                <w:b/>
                <w:sz w:val="18"/>
                <w:szCs w:val="18"/>
              </w:rPr>
              <w:t>320</w:t>
            </w:r>
          </w:p>
        </w:tc>
        <w:tc>
          <w:tcPr>
            <w:tcW w:w="8280" w:type="dxa"/>
            <w:gridSpan w:val="2"/>
            <w:tcMar>
              <w:top w:w="58" w:type="dxa"/>
              <w:bottom w:w="58" w:type="dxa"/>
            </w:tcMar>
          </w:tcPr>
          <w:p w14:paraId="796E93AC" w14:textId="77777777" w:rsidR="00EE74F9" w:rsidRPr="002513B4" w:rsidRDefault="00EE74F9" w:rsidP="007A68CD">
            <w:pPr>
              <w:pStyle w:val="TableText"/>
              <w:rPr>
                <w:b/>
                <w:sz w:val="18"/>
                <w:szCs w:val="18"/>
              </w:rPr>
            </w:pPr>
            <w:r w:rsidRPr="002513B4">
              <w:rPr>
                <w:b/>
                <w:sz w:val="18"/>
                <w:szCs w:val="18"/>
              </w:rPr>
              <w:t>Refusal</w:t>
            </w:r>
          </w:p>
          <w:p w14:paraId="222426F2" w14:textId="0F59DD96" w:rsidR="00036955" w:rsidRPr="002513B4" w:rsidRDefault="005A7C9D" w:rsidP="007A68CD">
            <w:pPr>
              <w:pStyle w:val="TableText"/>
              <w:rPr>
                <w:bCs/>
                <w:sz w:val="18"/>
                <w:szCs w:val="18"/>
              </w:rPr>
            </w:pPr>
            <w:r w:rsidRPr="002513B4">
              <w:rPr>
                <w:rFonts w:cs="Arial"/>
                <w:bCs/>
                <w:sz w:val="18"/>
                <w:szCs w:val="18"/>
              </w:rPr>
              <w:t xml:space="preserve">This code can be used in all three approved data collection modes. </w:t>
            </w:r>
            <w:r w:rsidR="00EE74F9" w:rsidRPr="002513B4">
              <w:rPr>
                <w:bCs/>
                <w:sz w:val="18"/>
                <w:szCs w:val="18"/>
              </w:rPr>
              <w:t xml:space="preserve">Assign this code if the sample member indicates either in writing or verbally that </w:t>
            </w:r>
            <w:r w:rsidR="00F46901" w:rsidRPr="002513B4">
              <w:rPr>
                <w:bCs/>
                <w:sz w:val="18"/>
                <w:szCs w:val="18"/>
              </w:rPr>
              <w:t>they do</w:t>
            </w:r>
            <w:r w:rsidR="00EE74F9" w:rsidRPr="002513B4">
              <w:rPr>
                <w:bCs/>
                <w:sz w:val="18"/>
                <w:szCs w:val="18"/>
              </w:rPr>
              <w:t xml:space="preserve"> not wish to participate in the survey.</w:t>
            </w:r>
            <w:r w:rsidR="00036955" w:rsidRPr="002513B4">
              <w:rPr>
                <w:bCs/>
                <w:sz w:val="18"/>
                <w:szCs w:val="18"/>
              </w:rPr>
              <w:t xml:space="preserve"> </w:t>
            </w:r>
          </w:p>
          <w:p w14:paraId="5FF6D652" w14:textId="77777777" w:rsidR="00EE74F9" w:rsidRPr="002513B4" w:rsidRDefault="00036955" w:rsidP="007A68CD">
            <w:pPr>
              <w:pStyle w:val="TableText"/>
              <w:rPr>
                <w:bCs/>
                <w:sz w:val="18"/>
                <w:szCs w:val="18"/>
              </w:rPr>
            </w:pPr>
            <w:r w:rsidRPr="002513B4">
              <w:rPr>
                <w:bCs/>
                <w:sz w:val="18"/>
                <w:szCs w:val="18"/>
              </w:rPr>
              <w:t xml:space="preserve">For </w:t>
            </w:r>
            <w:proofErr w:type="spellStart"/>
            <w:r w:rsidRPr="002513B4">
              <w:rPr>
                <w:bCs/>
                <w:sz w:val="18"/>
                <w:szCs w:val="18"/>
              </w:rPr>
              <w:t>mail</w:t>
            </w:r>
            <w:proofErr w:type="spellEnd"/>
            <w:r w:rsidRPr="002513B4">
              <w:rPr>
                <w:bCs/>
                <w:sz w:val="18"/>
                <w:szCs w:val="18"/>
              </w:rPr>
              <w:t xml:space="preserve">-only mode, see </w:t>
            </w:r>
            <w:r w:rsidRPr="002513B4">
              <w:rPr>
                <w:bCs/>
                <w:i/>
                <w:iCs/>
                <w:sz w:val="18"/>
                <w:szCs w:val="18"/>
              </w:rPr>
              <w:t>Table 9.2</w:t>
            </w:r>
            <w:r w:rsidRPr="002513B4">
              <w:rPr>
                <w:bCs/>
                <w:sz w:val="18"/>
                <w:szCs w:val="18"/>
              </w:rPr>
              <w:t xml:space="preserve"> of instances when a blank survey is </w:t>
            </w:r>
            <w:proofErr w:type="gramStart"/>
            <w:r w:rsidRPr="002513B4">
              <w:rPr>
                <w:bCs/>
                <w:sz w:val="18"/>
                <w:szCs w:val="18"/>
              </w:rPr>
              <w:t>returned</w:t>
            </w:r>
            <w:proofErr w:type="gramEnd"/>
            <w:r w:rsidRPr="002513B4">
              <w:rPr>
                <w:bCs/>
                <w:sz w:val="18"/>
                <w:szCs w:val="18"/>
              </w:rPr>
              <w:t xml:space="preserve"> and this code should be assigned.</w:t>
            </w:r>
          </w:p>
        </w:tc>
      </w:tr>
      <w:tr w:rsidR="00EE74F9" w:rsidRPr="002513B4" w14:paraId="660AF32D" w14:textId="77777777" w:rsidTr="007A68CD">
        <w:trPr>
          <w:cantSplit/>
        </w:trPr>
        <w:tc>
          <w:tcPr>
            <w:tcW w:w="1080" w:type="dxa"/>
            <w:tcMar>
              <w:top w:w="58" w:type="dxa"/>
              <w:bottom w:w="58" w:type="dxa"/>
            </w:tcMar>
          </w:tcPr>
          <w:p w14:paraId="7215D7AD" w14:textId="77777777" w:rsidR="00EE74F9" w:rsidRPr="002513B4" w:rsidRDefault="00EE74F9" w:rsidP="007A68CD">
            <w:pPr>
              <w:pStyle w:val="TableText"/>
              <w:jc w:val="right"/>
              <w:rPr>
                <w:b/>
                <w:sz w:val="18"/>
                <w:szCs w:val="18"/>
              </w:rPr>
            </w:pPr>
            <w:r w:rsidRPr="002513B4">
              <w:rPr>
                <w:b/>
                <w:sz w:val="18"/>
                <w:szCs w:val="18"/>
              </w:rPr>
              <w:t>330</w:t>
            </w:r>
          </w:p>
        </w:tc>
        <w:tc>
          <w:tcPr>
            <w:tcW w:w="8280" w:type="dxa"/>
            <w:gridSpan w:val="2"/>
            <w:tcMar>
              <w:top w:w="58" w:type="dxa"/>
              <w:bottom w:w="58" w:type="dxa"/>
            </w:tcMar>
          </w:tcPr>
          <w:p w14:paraId="4B000461" w14:textId="77777777" w:rsidR="00EE74F9" w:rsidRPr="002513B4" w:rsidRDefault="00EE74F9" w:rsidP="007A68CD">
            <w:pPr>
              <w:pStyle w:val="TableText"/>
              <w:rPr>
                <w:b/>
                <w:sz w:val="18"/>
                <w:szCs w:val="18"/>
              </w:rPr>
            </w:pPr>
            <w:r w:rsidRPr="002513B4">
              <w:rPr>
                <w:b/>
                <w:sz w:val="18"/>
                <w:szCs w:val="18"/>
              </w:rPr>
              <w:t>Bad Address/Undeliverable Mail</w:t>
            </w:r>
          </w:p>
          <w:p w14:paraId="5AB4D2E1" w14:textId="77777777" w:rsidR="00EE74F9" w:rsidRPr="002513B4" w:rsidRDefault="00EE74F9" w:rsidP="007A68CD">
            <w:pPr>
              <w:pStyle w:val="TableText"/>
              <w:rPr>
                <w:bCs/>
                <w:sz w:val="18"/>
                <w:szCs w:val="18"/>
              </w:rPr>
            </w:pPr>
            <w:r w:rsidRPr="002513B4">
              <w:rPr>
                <w:bCs/>
                <w:i/>
                <w:sz w:val="18"/>
                <w:szCs w:val="18"/>
              </w:rPr>
              <w:t>This code should be assigned only when using the mail-only mode.</w:t>
            </w:r>
            <w:r w:rsidRPr="002513B4">
              <w:rPr>
                <w:bCs/>
                <w:sz w:val="18"/>
                <w:szCs w:val="18"/>
              </w:rPr>
              <w:t xml:space="preserve"> It should be assigned if it is determined that the sample member’s address is bad (e.g., the questionnaire is returned by the Post Office as undeliverable with no forwarding address).</w:t>
            </w:r>
          </w:p>
        </w:tc>
      </w:tr>
      <w:tr w:rsidR="00EE74F9" w:rsidRPr="002513B4" w14:paraId="3716408D" w14:textId="77777777" w:rsidTr="007A68CD">
        <w:trPr>
          <w:cantSplit/>
        </w:trPr>
        <w:tc>
          <w:tcPr>
            <w:tcW w:w="1080" w:type="dxa"/>
            <w:tcMar>
              <w:top w:w="58" w:type="dxa"/>
              <w:bottom w:w="58" w:type="dxa"/>
            </w:tcMar>
          </w:tcPr>
          <w:p w14:paraId="4D2005B3" w14:textId="77777777" w:rsidR="00EE74F9" w:rsidRPr="002513B4" w:rsidRDefault="00EE74F9" w:rsidP="007A68CD">
            <w:pPr>
              <w:pStyle w:val="TableText"/>
              <w:jc w:val="right"/>
              <w:rPr>
                <w:b/>
                <w:sz w:val="18"/>
                <w:szCs w:val="18"/>
              </w:rPr>
            </w:pPr>
            <w:r w:rsidRPr="002513B4">
              <w:rPr>
                <w:b/>
                <w:sz w:val="18"/>
                <w:szCs w:val="18"/>
              </w:rPr>
              <w:t>340</w:t>
            </w:r>
          </w:p>
        </w:tc>
        <w:tc>
          <w:tcPr>
            <w:tcW w:w="8280" w:type="dxa"/>
            <w:gridSpan w:val="2"/>
            <w:tcMar>
              <w:top w:w="58" w:type="dxa"/>
              <w:bottom w:w="58" w:type="dxa"/>
            </w:tcMar>
          </w:tcPr>
          <w:p w14:paraId="608783A2" w14:textId="77777777" w:rsidR="00EE74F9" w:rsidRPr="002513B4" w:rsidRDefault="00EE74F9" w:rsidP="007A68CD">
            <w:pPr>
              <w:pStyle w:val="TableText"/>
              <w:rPr>
                <w:b/>
                <w:sz w:val="18"/>
                <w:szCs w:val="18"/>
              </w:rPr>
            </w:pPr>
            <w:r w:rsidRPr="002513B4">
              <w:rPr>
                <w:b/>
                <w:sz w:val="18"/>
                <w:szCs w:val="18"/>
              </w:rPr>
              <w:t>Wrong, Disconnected, or No Telephone Number</w:t>
            </w:r>
          </w:p>
          <w:p w14:paraId="49D1D55D" w14:textId="77777777" w:rsidR="00EE74F9" w:rsidRPr="002513B4" w:rsidRDefault="00EE74F9" w:rsidP="007A68CD">
            <w:pPr>
              <w:pStyle w:val="TableText"/>
              <w:rPr>
                <w:bCs/>
                <w:sz w:val="18"/>
                <w:szCs w:val="18"/>
              </w:rPr>
            </w:pPr>
            <w:r w:rsidRPr="002513B4">
              <w:rPr>
                <w:bCs/>
                <w:i/>
                <w:iCs/>
                <w:sz w:val="18"/>
                <w:szCs w:val="18"/>
              </w:rPr>
              <w:t>This code should be used in telephone-only or mixed-mode survey administration.</w:t>
            </w:r>
            <w:r w:rsidRPr="002513B4">
              <w:rPr>
                <w:bCs/>
                <w:sz w:val="18"/>
                <w:szCs w:val="18"/>
              </w:rPr>
              <w:t xml:space="preserve"> Because the telephone follow-up represents the last attempt to reach the sample member for mixed-mode survey administration, this code should be used even if it is determined that the mailing address is also bad.</w:t>
            </w:r>
          </w:p>
          <w:p w14:paraId="11F31FC3" w14:textId="77777777" w:rsidR="00EE74F9" w:rsidRPr="002513B4" w:rsidRDefault="00EE74F9" w:rsidP="007A68CD">
            <w:pPr>
              <w:pStyle w:val="TableText"/>
              <w:rPr>
                <w:bCs/>
                <w:sz w:val="18"/>
                <w:szCs w:val="18"/>
              </w:rPr>
            </w:pPr>
            <w:r w:rsidRPr="002513B4">
              <w:rPr>
                <w:bCs/>
                <w:sz w:val="18"/>
                <w:szCs w:val="18"/>
              </w:rPr>
              <w:t>This code should be assigned if it is determined that the telephone number is bad (</w:t>
            </w:r>
            <w:r w:rsidR="004E74FE" w:rsidRPr="002513B4">
              <w:rPr>
                <w:bCs/>
                <w:sz w:val="18"/>
                <w:szCs w:val="18"/>
              </w:rPr>
              <w:t xml:space="preserve">e.g., </w:t>
            </w:r>
            <w:r w:rsidRPr="002513B4">
              <w:rPr>
                <w:bCs/>
                <w:sz w:val="18"/>
                <w:szCs w:val="18"/>
              </w:rPr>
              <w:t>disconnected, no telephone number available, etc.).</w:t>
            </w:r>
          </w:p>
        </w:tc>
      </w:tr>
      <w:tr w:rsidR="007A68CD" w:rsidRPr="002513B4" w14:paraId="3C1C45CB" w14:textId="77777777" w:rsidTr="007A68CD">
        <w:trPr>
          <w:cantSplit/>
        </w:trPr>
        <w:tc>
          <w:tcPr>
            <w:tcW w:w="1080" w:type="dxa"/>
            <w:vMerge w:val="restart"/>
            <w:tcMar>
              <w:top w:w="58" w:type="dxa"/>
              <w:bottom w:w="58" w:type="dxa"/>
            </w:tcMar>
          </w:tcPr>
          <w:p w14:paraId="6BB72A5A" w14:textId="7D3C7F8C" w:rsidR="007A68CD" w:rsidRPr="002513B4" w:rsidRDefault="007A68CD" w:rsidP="007A68CD">
            <w:pPr>
              <w:pStyle w:val="TableText"/>
              <w:jc w:val="right"/>
              <w:rPr>
                <w:b/>
                <w:sz w:val="18"/>
                <w:szCs w:val="18"/>
              </w:rPr>
            </w:pPr>
            <w:r w:rsidRPr="002513B4">
              <w:rPr>
                <w:b/>
                <w:sz w:val="18"/>
                <w:szCs w:val="18"/>
              </w:rPr>
              <w:t>350</w:t>
            </w:r>
          </w:p>
        </w:tc>
        <w:tc>
          <w:tcPr>
            <w:tcW w:w="8280" w:type="dxa"/>
            <w:gridSpan w:val="2"/>
            <w:tcMar>
              <w:top w:w="58" w:type="dxa"/>
              <w:bottom w:w="58" w:type="dxa"/>
            </w:tcMar>
          </w:tcPr>
          <w:p w14:paraId="6CE0A352" w14:textId="77777777" w:rsidR="007A68CD" w:rsidRPr="002513B4" w:rsidRDefault="007A68CD" w:rsidP="007A68CD">
            <w:pPr>
              <w:pStyle w:val="TableText"/>
              <w:rPr>
                <w:rFonts w:cs="Arial"/>
                <w:b/>
                <w:sz w:val="18"/>
                <w:szCs w:val="18"/>
              </w:rPr>
            </w:pPr>
            <w:r w:rsidRPr="002513B4">
              <w:rPr>
                <w:rFonts w:cs="Arial"/>
                <w:b/>
                <w:sz w:val="18"/>
                <w:szCs w:val="18"/>
              </w:rPr>
              <w:t>No Response After Maximum Attempts</w:t>
            </w:r>
          </w:p>
          <w:p w14:paraId="00E67EE6" w14:textId="3A672559" w:rsidR="007A68CD" w:rsidRPr="002513B4" w:rsidRDefault="007A68CD" w:rsidP="007A68CD">
            <w:pPr>
              <w:pStyle w:val="TableText"/>
              <w:rPr>
                <w:rFonts w:cs="Arial"/>
                <w:bCs/>
                <w:sz w:val="18"/>
                <w:szCs w:val="18"/>
              </w:rPr>
            </w:pPr>
            <w:r w:rsidRPr="002513B4">
              <w:rPr>
                <w:rFonts w:cs="Arial"/>
                <w:bCs/>
                <w:sz w:val="18"/>
                <w:szCs w:val="18"/>
              </w:rPr>
              <w:t>This code can be used in all three approved data collection modes. It should be assigned when the contact information for the sample member is assumed to be viable, but the sample member does not respond to the survey or cannot be reached during the data collection period.</w:t>
            </w:r>
          </w:p>
          <w:p w14:paraId="259EE5A5" w14:textId="77777777" w:rsidR="007A68CD" w:rsidRPr="002513B4" w:rsidRDefault="007A68CD" w:rsidP="007A68CD">
            <w:pPr>
              <w:pStyle w:val="TableText"/>
              <w:rPr>
                <w:rFonts w:cs="Arial"/>
                <w:bCs/>
                <w:sz w:val="18"/>
                <w:szCs w:val="18"/>
              </w:rPr>
            </w:pPr>
            <w:r w:rsidRPr="002513B4">
              <w:rPr>
                <w:rFonts w:cs="Arial"/>
                <w:bCs/>
                <w:sz w:val="18"/>
                <w:szCs w:val="18"/>
              </w:rPr>
              <w:t>This code should be assigned to completed surveys received after the data collection period for the sample month ends.</w:t>
            </w:r>
          </w:p>
          <w:p w14:paraId="5BDCA53C" w14:textId="77777777" w:rsidR="007A68CD" w:rsidRPr="002513B4" w:rsidRDefault="007A68CD" w:rsidP="007A68CD">
            <w:pPr>
              <w:pStyle w:val="TableText"/>
              <w:rPr>
                <w:rFonts w:cs="Arial"/>
                <w:b/>
                <w:i/>
                <w:iCs/>
                <w:sz w:val="18"/>
                <w:szCs w:val="18"/>
              </w:rPr>
            </w:pPr>
            <w:r w:rsidRPr="002513B4">
              <w:rPr>
                <w:rFonts w:cs="Arial"/>
                <w:b/>
                <w:i/>
                <w:iCs/>
                <w:sz w:val="18"/>
                <w:szCs w:val="18"/>
              </w:rPr>
              <w:t>Mail-Only Mode</w:t>
            </w:r>
          </w:p>
          <w:p w14:paraId="3ABBE047" w14:textId="77777777" w:rsidR="007A68CD" w:rsidRPr="002513B4" w:rsidRDefault="007A68CD" w:rsidP="007042DD">
            <w:pPr>
              <w:pStyle w:val="Tablebullet1"/>
              <w:spacing w:after="0"/>
              <w:rPr>
                <w:rFonts w:ascii="Verdana" w:hAnsi="Verdana"/>
                <w:bCs/>
                <w:sz w:val="18"/>
                <w:szCs w:val="18"/>
              </w:rPr>
            </w:pPr>
            <w:r w:rsidRPr="002513B4">
              <w:rPr>
                <w:rFonts w:ascii="Verdana" w:hAnsi="Verdana"/>
                <w:bCs/>
                <w:sz w:val="18"/>
                <w:szCs w:val="18"/>
              </w:rPr>
              <w:t xml:space="preserve">This code should be assigned if the sample member’s address is </w:t>
            </w:r>
            <w:proofErr w:type="gramStart"/>
            <w:r w:rsidRPr="002513B4">
              <w:rPr>
                <w:rFonts w:ascii="Verdana" w:hAnsi="Verdana"/>
                <w:bCs/>
                <w:sz w:val="18"/>
                <w:szCs w:val="18"/>
              </w:rPr>
              <w:t>viable</w:t>
            </w:r>
            <w:proofErr w:type="gramEnd"/>
            <w:r w:rsidRPr="002513B4">
              <w:rPr>
                <w:rFonts w:ascii="Verdana" w:hAnsi="Verdana"/>
                <w:bCs/>
                <w:sz w:val="18"/>
                <w:szCs w:val="18"/>
              </w:rPr>
              <w:t xml:space="preserve"> but they do not respond to either the first or second questionnaire mailing during the data collection period. Assign this code only if work on the case has not resulted in a completed survey or other final disposition code.</w:t>
            </w:r>
          </w:p>
          <w:p w14:paraId="5497CE1F" w14:textId="77777777" w:rsidR="007A68CD" w:rsidRPr="002513B4" w:rsidRDefault="007A68CD" w:rsidP="007042DD">
            <w:pPr>
              <w:pStyle w:val="Tablebullet1"/>
              <w:spacing w:after="0"/>
              <w:rPr>
                <w:rFonts w:ascii="Verdana" w:hAnsi="Verdana"/>
                <w:bCs/>
                <w:sz w:val="18"/>
                <w:szCs w:val="18"/>
              </w:rPr>
            </w:pPr>
            <w:r w:rsidRPr="002513B4">
              <w:rPr>
                <w:rFonts w:ascii="Verdana" w:hAnsi="Verdana"/>
                <w:bCs/>
                <w:sz w:val="18"/>
                <w:szCs w:val="18"/>
              </w:rPr>
              <w:t xml:space="preserve">This code should be assigned if the initial questionnaire is returned blank and the second questionnaire is never returned. See </w:t>
            </w:r>
            <w:r w:rsidRPr="002513B4">
              <w:rPr>
                <w:rFonts w:ascii="Verdana" w:hAnsi="Verdana"/>
                <w:bCs/>
                <w:i/>
                <w:iCs/>
                <w:sz w:val="18"/>
                <w:szCs w:val="18"/>
              </w:rPr>
              <w:t>Table 9.2</w:t>
            </w:r>
            <w:r w:rsidRPr="002513B4">
              <w:rPr>
                <w:rFonts w:ascii="Verdana" w:hAnsi="Verdana"/>
                <w:bCs/>
                <w:sz w:val="18"/>
                <w:szCs w:val="18"/>
              </w:rPr>
              <w:t xml:space="preserve"> below.</w:t>
            </w:r>
          </w:p>
          <w:p w14:paraId="5ECB5C4B" w14:textId="77777777" w:rsidR="007A68CD" w:rsidRPr="002513B4" w:rsidRDefault="007A68CD" w:rsidP="007A68CD">
            <w:pPr>
              <w:pStyle w:val="TableText"/>
              <w:rPr>
                <w:rFonts w:cs="Arial"/>
                <w:b/>
                <w:i/>
                <w:iCs/>
                <w:sz w:val="18"/>
                <w:szCs w:val="18"/>
              </w:rPr>
            </w:pPr>
            <w:r w:rsidRPr="002513B4">
              <w:rPr>
                <w:rFonts w:cs="Arial"/>
                <w:b/>
                <w:i/>
                <w:iCs/>
                <w:sz w:val="18"/>
                <w:szCs w:val="18"/>
              </w:rPr>
              <w:t>Telephone-Only Mode</w:t>
            </w:r>
          </w:p>
          <w:p w14:paraId="3AA08BB4" w14:textId="77777777" w:rsidR="007A68CD" w:rsidRPr="002513B4" w:rsidRDefault="007A68CD" w:rsidP="004F5CC3">
            <w:pPr>
              <w:pStyle w:val="Tablebullet1"/>
              <w:spacing w:after="40"/>
              <w:rPr>
                <w:rFonts w:ascii="Verdana" w:hAnsi="Verdana"/>
                <w:b/>
                <w:sz w:val="18"/>
                <w:szCs w:val="18"/>
              </w:rPr>
            </w:pPr>
            <w:r w:rsidRPr="002513B4">
              <w:rPr>
                <w:rFonts w:ascii="Verdana" w:hAnsi="Verdana"/>
                <w:bCs/>
                <w:sz w:val="18"/>
                <w:szCs w:val="18"/>
              </w:rPr>
              <w:t xml:space="preserve">This code should be assigned if it is determined that the telephone number is </w:t>
            </w:r>
            <w:proofErr w:type="gramStart"/>
            <w:r w:rsidRPr="002513B4">
              <w:rPr>
                <w:rFonts w:ascii="Verdana" w:hAnsi="Verdana"/>
                <w:bCs/>
                <w:sz w:val="18"/>
                <w:szCs w:val="18"/>
              </w:rPr>
              <w:t>viable</w:t>
            </w:r>
            <w:proofErr w:type="gramEnd"/>
            <w:r w:rsidRPr="002513B4">
              <w:rPr>
                <w:rFonts w:ascii="Verdana" w:hAnsi="Verdana"/>
                <w:bCs/>
                <w:sz w:val="18"/>
                <w:szCs w:val="18"/>
              </w:rPr>
              <w:t xml:space="preserve"> but the required number of telephone attempts (five) did not result in a completed interview or other final disposition code.</w:t>
            </w:r>
          </w:p>
        </w:tc>
      </w:tr>
      <w:tr w:rsidR="007A68CD" w:rsidRPr="002513B4" w14:paraId="391D86C3" w14:textId="77777777" w:rsidTr="007A68CD">
        <w:trPr>
          <w:cantSplit/>
        </w:trPr>
        <w:tc>
          <w:tcPr>
            <w:tcW w:w="1080" w:type="dxa"/>
            <w:vMerge/>
            <w:tcBorders>
              <w:bottom w:val="single" w:sz="8" w:space="0" w:color="auto"/>
            </w:tcBorders>
            <w:tcMar>
              <w:top w:w="58" w:type="dxa"/>
              <w:bottom w:w="58" w:type="dxa"/>
            </w:tcMar>
          </w:tcPr>
          <w:p w14:paraId="23AE4893" w14:textId="580140EB" w:rsidR="007A68CD" w:rsidRPr="002513B4" w:rsidRDefault="007A68CD" w:rsidP="007A68CD">
            <w:pPr>
              <w:pStyle w:val="TableText"/>
              <w:jc w:val="right"/>
              <w:rPr>
                <w:b/>
                <w:sz w:val="18"/>
                <w:szCs w:val="18"/>
              </w:rPr>
            </w:pPr>
          </w:p>
        </w:tc>
        <w:tc>
          <w:tcPr>
            <w:tcW w:w="8280" w:type="dxa"/>
            <w:gridSpan w:val="2"/>
            <w:tcBorders>
              <w:bottom w:val="single" w:sz="8" w:space="0" w:color="auto"/>
            </w:tcBorders>
            <w:tcMar>
              <w:top w:w="58" w:type="dxa"/>
              <w:bottom w:w="58" w:type="dxa"/>
            </w:tcMar>
          </w:tcPr>
          <w:p w14:paraId="70230258" w14:textId="77777777" w:rsidR="007A68CD" w:rsidRPr="002513B4" w:rsidRDefault="007A68CD" w:rsidP="007A68CD">
            <w:pPr>
              <w:pStyle w:val="TableText"/>
              <w:rPr>
                <w:rFonts w:cs="Arial"/>
                <w:b/>
                <w:i/>
                <w:iCs/>
                <w:sz w:val="18"/>
                <w:szCs w:val="18"/>
              </w:rPr>
            </w:pPr>
            <w:r w:rsidRPr="002513B4">
              <w:rPr>
                <w:rFonts w:cs="Arial"/>
                <w:b/>
                <w:i/>
                <w:iCs/>
                <w:sz w:val="18"/>
                <w:szCs w:val="18"/>
              </w:rPr>
              <w:t>Mixed Mode</w:t>
            </w:r>
          </w:p>
          <w:p w14:paraId="0A1DED19" w14:textId="77777777" w:rsidR="007A68CD" w:rsidRPr="002513B4" w:rsidRDefault="007A68CD" w:rsidP="004F5CC3">
            <w:pPr>
              <w:pStyle w:val="Tablebullet1"/>
              <w:spacing w:after="40"/>
              <w:rPr>
                <w:rFonts w:ascii="Verdana" w:hAnsi="Verdana"/>
                <w:bCs/>
                <w:sz w:val="18"/>
                <w:szCs w:val="18"/>
              </w:rPr>
            </w:pPr>
            <w:r w:rsidRPr="002513B4">
              <w:rPr>
                <w:rFonts w:ascii="Verdana" w:hAnsi="Verdana"/>
                <w:bCs/>
                <w:sz w:val="18"/>
                <w:szCs w:val="18"/>
              </w:rPr>
              <w:t>This code should be assigned if it is determined that the telephone number is viable but the maximum number of contact attempts (i.e., the five telephone attempts) did not result in a completed survey or another final disposition code.</w:t>
            </w:r>
          </w:p>
        </w:tc>
      </w:tr>
    </w:tbl>
    <w:p w14:paraId="57263A26" w14:textId="17D166D4" w:rsidR="00EE74F9" w:rsidRPr="002513B4" w:rsidRDefault="009D79E3" w:rsidP="00EE74F9">
      <w:pPr>
        <w:pStyle w:val="Heading4"/>
        <w:rPr>
          <w:lang w:val="en-US"/>
        </w:rPr>
      </w:pPr>
      <w:r w:rsidRPr="002513B4">
        <w:rPr>
          <w:lang w:val="en-US"/>
        </w:rPr>
        <w:lastRenderedPageBreak/>
        <w:t>9.3.1</w:t>
      </w:r>
      <w:r w:rsidR="00076B80" w:rsidRPr="002513B4">
        <w:rPr>
          <w:lang w:val="en-US"/>
        </w:rPr>
        <w:tab/>
      </w:r>
      <w:r w:rsidR="00EE74F9" w:rsidRPr="002513B4">
        <w:rPr>
          <w:lang w:val="en-US"/>
        </w:rPr>
        <w:t>Differentiating Between Disposition Codes 330 (Nonresponse: Bad Address), 340 (Bad/No Telephone Number), and 350 (No Response After Maximum Attempts)</w:t>
      </w:r>
    </w:p>
    <w:p w14:paraId="7091A06A" w14:textId="77777777" w:rsidR="00EE74F9" w:rsidRPr="002513B4" w:rsidRDefault="00EE74F9" w:rsidP="00EE74F9">
      <w:pPr>
        <w:pStyle w:val="BodyText"/>
        <w:rPr>
          <w:lang w:val="en-US"/>
        </w:rPr>
      </w:pPr>
      <w:r w:rsidRPr="002513B4">
        <w:rPr>
          <w:b/>
          <w:i/>
          <w:lang w:val="en-US"/>
        </w:rPr>
        <w:t>Code 330: Nonresponse: Bad Address</w:t>
      </w:r>
      <w:r w:rsidR="002908A2" w:rsidRPr="002513B4">
        <w:rPr>
          <w:b/>
          <w:i/>
          <w:lang w:val="en-US"/>
        </w:rPr>
        <w:t>/Undeliverable Address</w:t>
      </w:r>
      <w:r w:rsidRPr="002513B4">
        <w:rPr>
          <w:lang w:val="en-US"/>
        </w:rPr>
        <w:t xml:space="preserve"> should be </w:t>
      </w:r>
      <w:r w:rsidR="002908A2" w:rsidRPr="002513B4">
        <w:rPr>
          <w:lang w:val="en-US"/>
        </w:rPr>
        <w:t xml:space="preserve">used for </w:t>
      </w:r>
      <w:proofErr w:type="spellStart"/>
      <w:r w:rsidR="002908A2" w:rsidRPr="002513B4">
        <w:rPr>
          <w:lang w:val="en-US"/>
        </w:rPr>
        <w:t>mail</w:t>
      </w:r>
      <w:proofErr w:type="spellEnd"/>
      <w:r w:rsidR="002908A2" w:rsidRPr="002513B4">
        <w:rPr>
          <w:lang w:val="en-US"/>
        </w:rPr>
        <w:t xml:space="preserve">-only mode and </w:t>
      </w:r>
      <w:r w:rsidRPr="002513B4">
        <w:rPr>
          <w:lang w:val="en-US"/>
        </w:rPr>
        <w:t>assigned only if there is evidence that the patient’s address is not viable. Evidence that the address is not viable includes the following:</w:t>
      </w:r>
    </w:p>
    <w:p w14:paraId="1DC3EFD5" w14:textId="77777777" w:rsidR="00EE74F9" w:rsidRPr="002513B4" w:rsidRDefault="00EE74F9" w:rsidP="00EE74F9">
      <w:pPr>
        <w:pStyle w:val="ListBullet"/>
      </w:pPr>
      <w:r w:rsidRPr="002513B4">
        <w:t>The HHA does not provide an address for the sample member and the vendor has attempted but failed to obtain an address;</w:t>
      </w:r>
    </w:p>
    <w:p w14:paraId="00D47275" w14:textId="77777777" w:rsidR="00EE74F9" w:rsidRPr="002513B4" w:rsidRDefault="00EE74F9" w:rsidP="00EE74F9">
      <w:pPr>
        <w:pStyle w:val="ListBullet"/>
      </w:pPr>
      <w:r w:rsidRPr="002513B4">
        <w:t>The questionnaire is returned as “undeliverable, no forwarding address”; and</w:t>
      </w:r>
    </w:p>
    <w:p w14:paraId="7137AF31" w14:textId="77777777" w:rsidR="00EE74F9" w:rsidRPr="002513B4" w:rsidRDefault="00EE74F9" w:rsidP="00EE74F9">
      <w:pPr>
        <w:pStyle w:val="ListBullet"/>
      </w:pPr>
      <w:r w:rsidRPr="002513B4">
        <w:t>The questionnaire is returned as “address or addressee unknown” or some other reason the mail was not delivered.</w:t>
      </w:r>
    </w:p>
    <w:p w14:paraId="0048EFF4" w14:textId="77777777" w:rsidR="00EE74F9" w:rsidRPr="002513B4" w:rsidRDefault="00EE74F9" w:rsidP="00EE74F9">
      <w:pPr>
        <w:pStyle w:val="BodyText"/>
        <w:rPr>
          <w:lang w:val="en-US"/>
        </w:rPr>
      </w:pPr>
      <w:r w:rsidRPr="002513B4">
        <w:rPr>
          <w:lang w:val="en-US"/>
        </w:rPr>
        <w:t>The vendor is strongly encouraged to use an outside address update service prior to mailing questionnaires to ensure that the most accurate mailing address is used. Similarly, if a questionnaire is returned as undeliverable, the vendor is strongly encouraged to attempt to locate a new address prior to the second questionnaire mailing</w:t>
      </w:r>
      <w:r w:rsidR="002908A2" w:rsidRPr="002513B4">
        <w:rPr>
          <w:lang w:val="en-US"/>
        </w:rPr>
        <w:t xml:space="preserve"> if possible</w:t>
      </w:r>
      <w:r w:rsidRPr="002513B4">
        <w:rPr>
          <w:lang w:val="en-US"/>
        </w:rPr>
        <w:t>.</w:t>
      </w:r>
    </w:p>
    <w:p w14:paraId="092A1A1E" w14:textId="77777777" w:rsidR="00EE74F9" w:rsidRPr="002513B4" w:rsidRDefault="00EE74F9" w:rsidP="00EE74F9">
      <w:pPr>
        <w:pStyle w:val="BodyText"/>
        <w:rPr>
          <w:lang w:val="en-US"/>
        </w:rPr>
      </w:pPr>
      <w:r w:rsidRPr="002513B4">
        <w:rPr>
          <w:b/>
          <w:i/>
          <w:lang w:val="en-US"/>
        </w:rPr>
        <w:t xml:space="preserve">Code 340: Nonresponse: </w:t>
      </w:r>
      <w:r w:rsidR="002908A2" w:rsidRPr="002513B4">
        <w:rPr>
          <w:b/>
          <w:i/>
          <w:lang w:val="en-US"/>
        </w:rPr>
        <w:t>Wrong, Disconnected</w:t>
      </w:r>
      <w:r w:rsidR="007F6AA1" w:rsidRPr="002513B4">
        <w:rPr>
          <w:b/>
          <w:i/>
          <w:lang w:val="en-US"/>
        </w:rPr>
        <w:t>,</w:t>
      </w:r>
      <w:r w:rsidR="002908A2" w:rsidRPr="002513B4">
        <w:rPr>
          <w:b/>
          <w:i/>
          <w:lang w:val="en-US"/>
        </w:rPr>
        <w:t xml:space="preserve"> </w:t>
      </w:r>
      <w:r w:rsidRPr="002513B4">
        <w:rPr>
          <w:b/>
          <w:i/>
          <w:lang w:val="en-US"/>
        </w:rPr>
        <w:t>or No Telephone Number</w:t>
      </w:r>
      <w:r w:rsidRPr="002513B4">
        <w:rPr>
          <w:lang w:val="en-US"/>
        </w:rPr>
        <w:t xml:space="preserve"> should be </w:t>
      </w:r>
      <w:r w:rsidR="002908A2" w:rsidRPr="002513B4">
        <w:rPr>
          <w:lang w:val="en-US"/>
        </w:rPr>
        <w:t xml:space="preserve">used for phone-only and mixed modes and </w:t>
      </w:r>
      <w:r w:rsidRPr="002513B4">
        <w:rPr>
          <w:lang w:val="en-US"/>
        </w:rPr>
        <w:t>assigned only if there is evidence that the sample member’s telephone number is not viable. Evidence that the phone number is not viable includes the following:</w:t>
      </w:r>
    </w:p>
    <w:p w14:paraId="2F38A666" w14:textId="77777777" w:rsidR="00EE74F9" w:rsidRPr="002513B4" w:rsidRDefault="00EE74F9" w:rsidP="00EE74F9">
      <w:pPr>
        <w:pStyle w:val="ListBullet"/>
      </w:pPr>
      <w:r w:rsidRPr="002513B4">
        <w:t>The HHA does not provide a telephone number for the sample member and the vendor has attempted and failed to obtain a telephone number;</w:t>
      </w:r>
    </w:p>
    <w:p w14:paraId="2B54736F" w14:textId="77777777" w:rsidR="00EE74F9" w:rsidRPr="002513B4" w:rsidRDefault="00EE74F9" w:rsidP="00EE74F9">
      <w:pPr>
        <w:pStyle w:val="ListBullet"/>
      </w:pPr>
      <w:r w:rsidRPr="002513B4">
        <w:t>On calling, the telephone interviewer learns that the telephone number on file is disconnected, nonworking, or out of order, and no new telephone number is provided; and</w:t>
      </w:r>
    </w:p>
    <w:p w14:paraId="61DD327D" w14:textId="77777777" w:rsidR="00EE74F9" w:rsidRPr="002513B4" w:rsidRDefault="00EE74F9" w:rsidP="00EE74F9">
      <w:pPr>
        <w:pStyle w:val="ListBullet"/>
      </w:pPr>
      <w:r w:rsidRPr="002513B4">
        <w:t>On calling, the telephone interviewer reaches a person and learns that the telephone number is the wrong number for the sample member and no new number is provided.</w:t>
      </w:r>
    </w:p>
    <w:p w14:paraId="7DE6E0B4" w14:textId="2311BC20" w:rsidR="00EE74F9" w:rsidRPr="002513B4" w:rsidRDefault="00EE74F9" w:rsidP="00EE74F9">
      <w:pPr>
        <w:pStyle w:val="BodyText"/>
        <w:rPr>
          <w:lang w:val="en-US"/>
        </w:rPr>
      </w:pPr>
      <w:r w:rsidRPr="002513B4">
        <w:rPr>
          <w:lang w:val="en-US"/>
        </w:rPr>
        <w:t xml:space="preserve">To </w:t>
      </w:r>
      <w:r w:rsidR="00205B74" w:rsidRPr="002513B4">
        <w:rPr>
          <w:lang w:val="en-US"/>
        </w:rPr>
        <w:t xml:space="preserve">verify </w:t>
      </w:r>
      <w:r w:rsidRPr="002513B4">
        <w:rPr>
          <w:lang w:val="en-US"/>
        </w:rPr>
        <w:t>that the most accurate telephone number is used, the vendor is strongly encouraged to use an outside telephone number update service prior to initiating telephone contact. Similarly, if the vendor learns that a telephone number is not viable, the vendor is strongly encouraged to attempt to locate a new telephone number for the sample member prior to the end of the data collection period.</w:t>
      </w:r>
    </w:p>
    <w:p w14:paraId="1D474225" w14:textId="77777777" w:rsidR="00EE74F9" w:rsidRPr="002513B4" w:rsidRDefault="00EE74F9" w:rsidP="00EE74F9">
      <w:pPr>
        <w:pStyle w:val="BodyText"/>
        <w:rPr>
          <w:lang w:val="en-US"/>
        </w:rPr>
      </w:pPr>
      <w:r w:rsidRPr="002513B4">
        <w:rPr>
          <w:b/>
          <w:i/>
          <w:lang w:val="en-US"/>
        </w:rPr>
        <w:t>Code 350: Nonresponse: No Response After Maximum Attempts</w:t>
      </w:r>
      <w:r w:rsidRPr="002513B4">
        <w:rPr>
          <w:lang w:val="en-US"/>
        </w:rPr>
        <w:t xml:space="preserve"> should be </w:t>
      </w:r>
      <w:r w:rsidR="002908A2" w:rsidRPr="002513B4">
        <w:rPr>
          <w:lang w:val="en-US"/>
        </w:rPr>
        <w:t xml:space="preserve">used for all three approved modes and </w:t>
      </w:r>
      <w:r w:rsidRPr="002513B4">
        <w:rPr>
          <w:lang w:val="en-US"/>
        </w:rPr>
        <w:t xml:space="preserve">assigned if there is evidence that the sample member’s address or telephone number is </w:t>
      </w:r>
      <w:proofErr w:type="gramStart"/>
      <w:r w:rsidRPr="002513B4">
        <w:rPr>
          <w:lang w:val="en-US"/>
        </w:rPr>
        <w:t>viable</w:t>
      </w:r>
      <w:proofErr w:type="gramEnd"/>
      <w:r w:rsidRPr="002513B4">
        <w:rPr>
          <w:lang w:val="en-US"/>
        </w:rPr>
        <w:t xml:space="preserve"> but the sample member has not responded after all </w:t>
      </w:r>
      <w:r w:rsidRPr="002513B4">
        <w:rPr>
          <w:lang w:val="en-US"/>
        </w:rPr>
        <w:lastRenderedPageBreak/>
        <w:t>questionnaire mailings or telephone attempts appropriate for the given mode have been implemented.</w:t>
      </w:r>
    </w:p>
    <w:p w14:paraId="51C13685" w14:textId="12550DDF" w:rsidR="00EE74F9" w:rsidRPr="002513B4" w:rsidRDefault="009D79E3" w:rsidP="00EE74F9">
      <w:pPr>
        <w:pStyle w:val="Heading3"/>
        <w:rPr>
          <w:lang w:val="en-US"/>
        </w:rPr>
      </w:pPr>
      <w:bookmarkStart w:id="308" w:name="_Toc407633103"/>
      <w:bookmarkStart w:id="309" w:name="_Toc24713379"/>
      <w:bookmarkStart w:id="310" w:name="_Toc217305609"/>
      <w:bookmarkStart w:id="311" w:name="_Toc224984449"/>
      <w:bookmarkStart w:id="312" w:name="_Toc251318178"/>
      <w:r w:rsidRPr="002513B4">
        <w:rPr>
          <w:lang w:val="en-US"/>
        </w:rPr>
        <w:t>9.4</w:t>
      </w:r>
      <w:r w:rsidRPr="002513B4">
        <w:rPr>
          <w:lang w:val="en-US"/>
        </w:rPr>
        <w:tab/>
      </w:r>
      <w:r w:rsidR="00EE74F9" w:rsidRPr="002513B4">
        <w:rPr>
          <w:lang w:val="en-US"/>
        </w:rPr>
        <w:t>Handling Blank Questionnaires</w:t>
      </w:r>
      <w:bookmarkEnd w:id="308"/>
      <w:bookmarkEnd w:id="309"/>
      <w:bookmarkEnd w:id="310"/>
    </w:p>
    <w:p w14:paraId="7C55652E" w14:textId="77777777" w:rsidR="00EE74F9" w:rsidRPr="002513B4" w:rsidRDefault="00EE74F9" w:rsidP="00EE74F9">
      <w:pPr>
        <w:pStyle w:val="BodyText"/>
        <w:rPr>
          <w:lang w:val="en-US"/>
        </w:rPr>
      </w:pPr>
      <w:r w:rsidRPr="002513B4">
        <w:rPr>
          <w:lang w:val="en-US"/>
        </w:rPr>
        <w:t xml:space="preserve">For the mail-only mode it is appropriate to send a second questionnaire to the sample member if the first questionnaire is returned blank, </w:t>
      </w:r>
      <w:proofErr w:type="gramStart"/>
      <w:r w:rsidRPr="002513B4">
        <w:rPr>
          <w:lang w:val="en-US"/>
        </w:rPr>
        <w:t>as long as</w:t>
      </w:r>
      <w:proofErr w:type="gramEnd"/>
      <w:r w:rsidRPr="002513B4">
        <w:rPr>
          <w:lang w:val="en-US"/>
        </w:rPr>
        <w:t xml:space="preserve"> it is mailed before the end of the data collection period. </w:t>
      </w:r>
      <w:r w:rsidRPr="002513B4">
        <w:rPr>
          <w:b/>
          <w:bCs/>
          <w:i/>
          <w:iCs/>
          <w:lang w:val="en-US"/>
        </w:rPr>
        <w:t>Table 9.2</w:t>
      </w:r>
      <w:r w:rsidRPr="002513B4">
        <w:rPr>
          <w:lang w:val="en-US"/>
        </w:rPr>
        <w:t xml:space="preserve"> provides guidance on how to code mail surveys that are returned blank.</w:t>
      </w:r>
    </w:p>
    <w:p w14:paraId="73177FE2" w14:textId="7E7289C9" w:rsidR="00EE74F9" w:rsidRPr="002513B4" w:rsidRDefault="00EE74F9" w:rsidP="00EE74F9">
      <w:pPr>
        <w:pStyle w:val="TableCaption"/>
      </w:pPr>
      <w:bookmarkStart w:id="313" w:name="_Toc24713427"/>
      <w:bookmarkStart w:id="314" w:name="_Toc217024917"/>
      <w:r w:rsidRPr="002513B4">
        <w:t>Table 9.2</w:t>
      </w:r>
      <w:r w:rsidR="007A68CD" w:rsidRPr="002513B4">
        <w:t xml:space="preserve"> </w:t>
      </w:r>
      <w:r w:rsidRPr="002513B4">
        <w:t>Handling Blank Mail Survey Questionnaires</w:t>
      </w:r>
      <w:bookmarkEnd w:id="313"/>
      <w:bookmarkEnd w:id="3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Guidance for Handling Blank Questionnaires"/>
        <w:tblDescription w:val="Table 9.2 details which code to assign to blank mail surveys"/>
      </w:tblPr>
      <w:tblGrid>
        <w:gridCol w:w="3120"/>
        <w:gridCol w:w="3120"/>
        <w:gridCol w:w="3120"/>
      </w:tblGrid>
      <w:tr w:rsidR="00EE74F9" w:rsidRPr="002513B4" w14:paraId="0B023C59" w14:textId="77777777" w:rsidTr="007A68CD">
        <w:trPr>
          <w:cantSplit/>
          <w:tblHeader/>
        </w:trPr>
        <w:tc>
          <w:tcPr>
            <w:tcW w:w="3120" w:type="dxa"/>
            <w:shd w:val="clear" w:color="auto" w:fill="1F497D"/>
            <w:vAlign w:val="bottom"/>
            <w:hideMark/>
          </w:tcPr>
          <w:p w14:paraId="6791E9C6" w14:textId="6CB4025D" w:rsidR="00EE74F9" w:rsidRPr="002513B4" w:rsidRDefault="00EE74F9" w:rsidP="00C553FE">
            <w:pPr>
              <w:pStyle w:val="TableHeaders"/>
              <w:rPr>
                <w:color w:val="FFFFFF" w:themeColor="background1"/>
                <w:sz w:val="18"/>
                <w:szCs w:val="18"/>
              </w:rPr>
            </w:pPr>
            <w:r w:rsidRPr="002513B4">
              <w:rPr>
                <w:color w:val="FFFFFF" w:themeColor="background1"/>
                <w:sz w:val="18"/>
                <w:szCs w:val="18"/>
              </w:rPr>
              <w:t xml:space="preserve">If first questionnaire </w:t>
            </w:r>
            <w:r w:rsidR="007A68CD" w:rsidRPr="002513B4">
              <w:rPr>
                <w:color w:val="FFFFFF" w:themeColor="background1"/>
                <w:sz w:val="18"/>
                <w:szCs w:val="18"/>
              </w:rPr>
              <w:t>r</w:t>
            </w:r>
            <w:r w:rsidRPr="002513B4">
              <w:rPr>
                <w:color w:val="FFFFFF" w:themeColor="background1"/>
                <w:sz w:val="18"/>
                <w:szCs w:val="18"/>
              </w:rPr>
              <w:t>eturned</w:t>
            </w:r>
            <w:proofErr w:type="gramStart"/>
            <w:r w:rsidRPr="002513B4">
              <w:rPr>
                <w:color w:val="FFFFFF" w:themeColor="background1"/>
                <w:sz w:val="18"/>
                <w:szCs w:val="18"/>
              </w:rPr>
              <w:t>…..</w:t>
            </w:r>
            <w:proofErr w:type="gramEnd"/>
          </w:p>
        </w:tc>
        <w:tc>
          <w:tcPr>
            <w:tcW w:w="3120" w:type="dxa"/>
            <w:shd w:val="clear" w:color="auto" w:fill="1F497D"/>
            <w:vAlign w:val="bottom"/>
            <w:hideMark/>
          </w:tcPr>
          <w:p w14:paraId="63C247B0"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If second questionnaire returned….</w:t>
            </w:r>
          </w:p>
        </w:tc>
        <w:tc>
          <w:tcPr>
            <w:tcW w:w="3120" w:type="dxa"/>
            <w:shd w:val="clear" w:color="auto" w:fill="1F497D"/>
            <w:vAlign w:val="bottom"/>
            <w:hideMark/>
          </w:tcPr>
          <w:p w14:paraId="2F452752"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Assign code….</w:t>
            </w:r>
          </w:p>
        </w:tc>
      </w:tr>
      <w:tr w:rsidR="00EE74F9" w:rsidRPr="002513B4" w14:paraId="762EE0F9" w14:textId="77777777" w:rsidTr="00C553FE">
        <w:trPr>
          <w:cantSplit/>
        </w:trPr>
        <w:tc>
          <w:tcPr>
            <w:tcW w:w="3120" w:type="dxa"/>
            <w:hideMark/>
          </w:tcPr>
          <w:p w14:paraId="6FD1E7B7" w14:textId="77777777" w:rsidR="00EE74F9" w:rsidRPr="002513B4" w:rsidRDefault="00EE74F9" w:rsidP="00C553FE">
            <w:pPr>
              <w:pStyle w:val="TableText"/>
              <w:rPr>
                <w:sz w:val="18"/>
                <w:szCs w:val="18"/>
              </w:rPr>
            </w:pPr>
            <w:r w:rsidRPr="002513B4">
              <w:rPr>
                <w:sz w:val="18"/>
                <w:szCs w:val="18"/>
              </w:rPr>
              <w:t>Blank</w:t>
            </w:r>
          </w:p>
        </w:tc>
        <w:tc>
          <w:tcPr>
            <w:tcW w:w="3120" w:type="dxa"/>
            <w:hideMark/>
          </w:tcPr>
          <w:p w14:paraId="62B338F6" w14:textId="77777777" w:rsidR="00EE74F9" w:rsidRPr="002513B4" w:rsidRDefault="00EE74F9" w:rsidP="00C553FE">
            <w:pPr>
              <w:pStyle w:val="TableText"/>
              <w:rPr>
                <w:sz w:val="18"/>
                <w:szCs w:val="18"/>
              </w:rPr>
            </w:pPr>
            <w:r w:rsidRPr="002513B4">
              <w:rPr>
                <w:sz w:val="18"/>
                <w:szCs w:val="18"/>
              </w:rPr>
              <w:t>Blank</w:t>
            </w:r>
          </w:p>
        </w:tc>
        <w:tc>
          <w:tcPr>
            <w:tcW w:w="3120" w:type="dxa"/>
            <w:hideMark/>
          </w:tcPr>
          <w:p w14:paraId="109D1B59" w14:textId="77777777" w:rsidR="00EE74F9" w:rsidRPr="002513B4" w:rsidRDefault="00EE74F9" w:rsidP="00C553FE">
            <w:pPr>
              <w:pStyle w:val="TableText"/>
              <w:rPr>
                <w:sz w:val="18"/>
                <w:szCs w:val="18"/>
              </w:rPr>
            </w:pPr>
            <w:r w:rsidRPr="002513B4">
              <w:rPr>
                <w:sz w:val="18"/>
                <w:szCs w:val="18"/>
              </w:rPr>
              <w:t>320—refusal</w:t>
            </w:r>
          </w:p>
        </w:tc>
      </w:tr>
      <w:tr w:rsidR="00EE74F9" w:rsidRPr="002513B4" w14:paraId="1FF395C1" w14:textId="77777777" w:rsidTr="00C553FE">
        <w:trPr>
          <w:cantSplit/>
        </w:trPr>
        <w:tc>
          <w:tcPr>
            <w:tcW w:w="3120" w:type="dxa"/>
            <w:hideMark/>
          </w:tcPr>
          <w:p w14:paraId="7F79A0C5" w14:textId="77777777" w:rsidR="00EE74F9" w:rsidRPr="002513B4" w:rsidRDefault="00EE74F9" w:rsidP="00C553FE">
            <w:pPr>
              <w:pStyle w:val="TableText"/>
              <w:rPr>
                <w:sz w:val="18"/>
                <w:szCs w:val="18"/>
              </w:rPr>
            </w:pPr>
            <w:r w:rsidRPr="002513B4">
              <w:rPr>
                <w:sz w:val="18"/>
                <w:szCs w:val="18"/>
              </w:rPr>
              <w:t>Not returned</w:t>
            </w:r>
          </w:p>
        </w:tc>
        <w:tc>
          <w:tcPr>
            <w:tcW w:w="3120" w:type="dxa"/>
            <w:hideMark/>
          </w:tcPr>
          <w:p w14:paraId="7819B08E" w14:textId="77777777" w:rsidR="00EE74F9" w:rsidRPr="002513B4" w:rsidRDefault="00EE74F9" w:rsidP="00C553FE">
            <w:pPr>
              <w:pStyle w:val="TableText"/>
              <w:rPr>
                <w:sz w:val="18"/>
                <w:szCs w:val="18"/>
              </w:rPr>
            </w:pPr>
            <w:r w:rsidRPr="002513B4">
              <w:rPr>
                <w:sz w:val="18"/>
                <w:szCs w:val="18"/>
              </w:rPr>
              <w:t>Blank</w:t>
            </w:r>
          </w:p>
        </w:tc>
        <w:tc>
          <w:tcPr>
            <w:tcW w:w="3120" w:type="dxa"/>
            <w:hideMark/>
          </w:tcPr>
          <w:p w14:paraId="0C9735B2" w14:textId="77777777" w:rsidR="00EE74F9" w:rsidRPr="002513B4" w:rsidRDefault="00EE74F9" w:rsidP="00C553FE">
            <w:pPr>
              <w:pStyle w:val="TableText"/>
              <w:rPr>
                <w:sz w:val="18"/>
                <w:szCs w:val="18"/>
              </w:rPr>
            </w:pPr>
            <w:r w:rsidRPr="002513B4">
              <w:rPr>
                <w:sz w:val="18"/>
                <w:szCs w:val="18"/>
              </w:rPr>
              <w:t>320—refusal</w:t>
            </w:r>
          </w:p>
        </w:tc>
      </w:tr>
      <w:tr w:rsidR="00EE74F9" w:rsidRPr="002513B4" w14:paraId="63107900" w14:textId="77777777" w:rsidTr="00C553FE">
        <w:trPr>
          <w:cantSplit/>
        </w:trPr>
        <w:tc>
          <w:tcPr>
            <w:tcW w:w="3120" w:type="dxa"/>
            <w:hideMark/>
          </w:tcPr>
          <w:p w14:paraId="5EC4C768" w14:textId="77777777" w:rsidR="00EE74F9" w:rsidRPr="002513B4" w:rsidRDefault="00EE74F9" w:rsidP="00C553FE">
            <w:pPr>
              <w:pStyle w:val="TableText"/>
              <w:rPr>
                <w:sz w:val="18"/>
                <w:szCs w:val="18"/>
              </w:rPr>
            </w:pPr>
            <w:r w:rsidRPr="002513B4">
              <w:rPr>
                <w:sz w:val="18"/>
                <w:szCs w:val="18"/>
              </w:rPr>
              <w:t>Blank or Not returned</w:t>
            </w:r>
          </w:p>
        </w:tc>
        <w:tc>
          <w:tcPr>
            <w:tcW w:w="3120" w:type="dxa"/>
            <w:hideMark/>
          </w:tcPr>
          <w:p w14:paraId="3E22C6C2" w14:textId="77777777" w:rsidR="00EE74F9" w:rsidRPr="002513B4" w:rsidRDefault="00EE74F9" w:rsidP="00C553FE">
            <w:pPr>
              <w:pStyle w:val="TableText"/>
              <w:rPr>
                <w:sz w:val="18"/>
                <w:szCs w:val="18"/>
              </w:rPr>
            </w:pPr>
            <w:r w:rsidRPr="002513B4">
              <w:rPr>
                <w:sz w:val="18"/>
                <w:szCs w:val="18"/>
              </w:rPr>
              <w:t>Not returned</w:t>
            </w:r>
          </w:p>
        </w:tc>
        <w:tc>
          <w:tcPr>
            <w:tcW w:w="3120" w:type="dxa"/>
            <w:hideMark/>
          </w:tcPr>
          <w:p w14:paraId="572FE27B" w14:textId="77777777" w:rsidR="00EE74F9" w:rsidRPr="002513B4" w:rsidRDefault="00EE74F9" w:rsidP="00C553FE">
            <w:pPr>
              <w:pStyle w:val="TableText"/>
              <w:rPr>
                <w:sz w:val="18"/>
                <w:szCs w:val="18"/>
              </w:rPr>
            </w:pPr>
            <w:r w:rsidRPr="002513B4">
              <w:rPr>
                <w:sz w:val="18"/>
                <w:szCs w:val="18"/>
              </w:rPr>
              <w:t>350—maximum attempts</w:t>
            </w:r>
          </w:p>
        </w:tc>
      </w:tr>
    </w:tbl>
    <w:p w14:paraId="09FED98F" w14:textId="77777777" w:rsidR="00EE74F9" w:rsidRPr="002513B4" w:rsidRDefault="00EE74F9" w:rsidP="00EE74F9">
      <w:pPr>
        <w:pStyle w:val="Source"/>
        <w:rPr>
          <w:lang w:val="en-US"/>
        </w:rPr>
      </w:pPr>
    </w:p>
    <w:p w14:paraId="10ECED49" w14:textId="77777777" w:rsidR="00EE74F9" w:rsidRPr="002513B4" w:rsidRDefault="00EE74F9" w:rsidP="00EE74F9">
      <w:pPr>
        <w:pStyle w:val="BodyText"/>
        <w:rPr>
          <w:lang w:val="en-US"/>
        </w:rPr>
      </w:pPr>
      <w:r w:rsidRPr="002513B4">
        <w:rPr>
          <w:lang w:val="en-US"/>
        </w:rPr>
        <w:t>The procedures described above are for surveys that are returned blank, not for surveys that have been marked undeliverable because the United States Postal Service could not deliver the mail.</w:t>
      </w:r>
    </w:p>
    <w:p w14:paraId="6C57D50B" w14:textId="3EF1DFBE" w:rsidR="00EE74F9" w:rsidRPr="002513B4" w:rsidRDefault="009D79E3" w:rsidP="00EE74F9">
      <w:pPr>
        <w:pStyle w:val="Heading3"/>
        <w:rPr>
          <w:lang w:val="en-US"/>
        </w:rPr>
      </w:pPr>
      <w:bookmarkStart w:id="315" w:name="_Toc24713380"/>
      <w:bookmarkStart w:id="316" w:name="_Toc217305610"/>
      <w:r w:rsidRPr="002513B4">
        <w:rPr>
          <w:lang w:val="en-US"/>
        </w:rPr>
        <w:t>9.5</w:t>
      </w:r>
      <w:r w:rsidRPr="002513B4">
        <w:rPr>
          <w:lang w:val="en-US"/>
        </w:rPr>
        <w:tab/>
      </w:r>
      <w:r w:rsidR="00EE74F9" w:rsidRPr="002513B4">
        <w:rPr>
          <w:lang w:val="en-US"/>
        </w:rPr>
        <w:t>Coding Proxy Surveys and Interviews</w:t>
      </w:r>
      <w:bookmarkEnd w:id="315"/>
      <w:bookmarkEnd w:id="316"/>
    </w:p>
    <w:p w14:paraId="00950ACD" w14:textId="7A17ECE9" w:rsidR="00EE74F9" w:rsidRPr="002513B4" w:rsidRDefault="00EE74F9" w:rsidP="00EE74F9">
      <w:pPr>
        <w:pStyle w:val="BodyText"/>
        <w:rPr>
          <w:lang w:val="en-US"/>
        </w:rPr>
      </w:pPr>
      <w:r w:rsidRPr="002513B4">
        <w:rPr>
          <w:lang w:val="en-US"/>
        </w:rPr>
        <w:t xml:space="preserve">It is the vendor’s responsibility to flag and code all telephone </w:t>
      </w:r>
      <w:r w:rsidR="002908A2" w:rsidRPr="002513B4">
        <w:rPr>
          <w:lang w:val="en-US"/>
        </w:rPr>
        <w:t xml:space="preserve">interviews </w:t>
      </w:r>
      <w:r w:rsidRPr="002513B4">
        <w:rPr>
          <w:lang w:val="en-US"/>
        </w:rPr>
        <w:t xml:space="preserve">and </w:t>
      </w:r>
      <w:r w:rsidR="002908A2" w:rsidRPr="002513B4">
        <w:rPr>
          <w:lang w:val="en-US"/>
        </w:rPr>
        <w:t xml:space="preserve">returned </w:t>
      </w:r>
      <w:r w:rsidRPr="002513B4">
        <w:rPr>
          <w:lang w:val="en-US"/>
        </w:rPr>
        <w:t xml:space="preserve">hardcopy </w:t>
      </w:r>
      <w:r w:rsidR="002908A2" w:rsidRPr="002513B4">
        <w:rPr>
          <w:lang w:val="en-US"/>
        </w:rPr>
        <w:t xml:space="preserve">questionnaires </w:t>
      </w:r>
      <w:r w:rsidRPr="002513B4">
        <w:rPr>
          <w:lang w:val="en-US"/>
        </w:rPr>
        <w:t>completed with a proxy respondent as a proxy interview</w:t>
      </w:r>
      <w:r w:rsidR="00E37BFF" w:rsidRPr="002513B4">
        <w:rPr>
          <w:lang w:val="en-US"/>
        </w:rPr>
        <w:t xml:space="preserve"> in the XML data file</w:t>
      </w:r>
      <w:r w:rsidRPr="002513B4">
        <w:rPr>
          <w:lang w:val="en-US"/>
        </w:rPr>
        <w:t xml:space="preserve">. For mail questionnaires, the vendor must assign a proxy flag to any case where the respondent indicated in Question </w:t>
      </w:r>
      <w:r w:rsidR="00E37BFF" w:rsidRPr="002513B4">
        <w:rPr>
          <w:lang w:val="en-US"/>
        </w:rPr>
        <w:t>25</w:t>
      </w:r>
      <w:r w:rsidRPr="002513B4">
        <w:rPr>
          <w:lang w:val="en-US"/>
        </w:rPr>
        <w:t xml:space="preserve"> that the person helping him or her “answered the questions for me” (response option</w:t>
      </w:r>
      <w:r w:rsidR="00FF0BFB" w:rsidRPr="002513B4">
        <w:rPr>
          <w:lang w:val="en-US"/>
        </w:rPr>
        <w:t> </w:t>
      </w:r>
      <w:r w:rsidRPr="002513B4">
        <w:rPr>
          <w:lang w:val="en-US"/>
        </w:rPr>
        <w:t>3).</w:t>
      </w:r>
    </w:p>
    <w:p w14:paraId="70CBFB10" w14:textId="2F8704E9" w:rsidR="00EE74F9" w:rsidRPr="002513B4" w:rsidRDefault="00EE74F9" w:rsidP="00EE74F9">
      <w:pPr>
        <w:pStyle w:val="BodyText"/>
        <w:rPr>
          <w:lang w:val="en-US"/>
        </w:rPr>
      </w:pPr>
      <w:r w:rsidRPr="002513B4">
        <w:rPr>
          <w:b/>
          <w:i/>
          <w:lang w:val="en-US"/>
        </w:rPr>
        <w:t>Exhibit 9.</w:t>
      </w:r>
      <w:r w:rsidR="006E7DF8" w:rsidRPr="002513B4">
        <w:rPr>
          <w:b/>
          <w:i/>
          <w:lang w:val="en-US"/>
        </w:rPr>
        <w:t>2</w:t>
      </w:r>
      <w:r w:rsidR="006E7DF8" w:rsidRPr="002513B4">
        <w:rPr>
          <w:lang w:val="en-US"/>
        </w:rPr>
        <w:t xml:space="preserve"> </w:t>
      </w:r>
      <w:r w:rsidRPr="002513B4">
        <w:rPr>
          <w:lang w:val="en-US"/>
        </w:rPr>
        <w:t xml:space="preserve">shows when the </w:t>
      </w:r>
      <w:r w:rsidR="002908A2" w:rsidRPr="002513B4">
        <w:rPr>
          <w:lang w:val="en-US"/>
        </w:rPr>
        <w:t>p</w:t>
      </w:r>
      <w:r w:rsidRPr="002513B4">
        <w:rPr>
          <w:lang w:val="en-US"/>
        </w:rPr>
        <w:t xml:space="preserve">roxy </w:t>
      </w:r>
      <w:r w:rsidR="002908A2" w:rsidRPr="002513B4">
        <w:rPr>
          <w:lang w:val="en-US"/>
        </w:rPr>
        <w:t>f</w:t>
      </w:r>
      <w:r w:rsidRPr="002513B4">
        <w:rPr>
          <w:lang w:val="en-US"/>
        </w:rPr>
        <w:t xml:space="preserve">lag should be coded as </w:t>
      </w:r>
      <w:r w:rsidR="002908A2" w:rsidRPr="002513B4">
        <w:rPr>
          <w:lang w:val="en-US"/>
        </w:rPr>
        <w:t>“</w:t>
      </w:r>
      <w:r w:rsidRPr="002513B4">
        <w:rPr>
          <w:lang w:val="en-US"/>
        </w:rPr>
        <w:t>1,</w:t>
      </w:r>
      <w:r w:rsidR="002908A2" w:rsidRPr="002513B4">
        <w:rPr>
          <w:lang w:val="en-US"/>
        </w:rPr>
        <w:t>”</w:t>
      </w:r>
      <w:r w:rsidRPr="002513B4">
        <w:rPr>
          <w:lang w:val="en-US"/>
        </w:rPr>
        <w:t xml:space="preserve"> </w:t>
      </w:r>
      <w:r w:rsidR="002908A2" w:rsidRPr="002513B4">
        <w:rPr>
          <w:lang w:val="en-US"/>
        </w:rPr>
        <w:t>“</w:t>
      </w:r>
      <w:r w:rsidRPr="002513B4">
        <w:rPr>
          <w:lang w:val="en-US"/>
        </w:rPr>
        <w:t>2,</w:t>
      </w:r>
      <w:r w:rsidR="002908A2" w:rsidRPr="002513B4">
        <w:rPr>
          <w:lang w:val="en-US"/>
        </w:rPr>
        <w:t>”</w:t>
      </w:r>
      <w:r w:rsidRPr="002513B4">
        <w:rPr>
          <w:lang w:val="en-US"/>
        </w:rPr>
        <w:t xml:space="preserve"> or </w:t>
      </w:r>
      <w:r w:rsidR="002908A2" w:rsidRPr="002513B4">
        <w:rPr>
          <w:lang w:val="en-US"/>
        </w:rPr>
        <w:t>“</w:t>
      </w:r>
      <w:r w:rsidRPr="002513B4">
        <w:rPr>
          <w:lang w:val="en-US"/>
        </w:rPr>
        <w:t>M,</w:t>
      </w:r>
      <w:r w:rsidR="002908A2" w:rsidRPr="002513B4">
        <w:rPr>
          <w:lang w:val="en-US"/>
        </w:rPr>
        <w:t>”</w:t>
      </w:r>
      <w:r w:rsidRPr="002513B4">
        <w:rPr>
          <w:lang w:val="en-US"/>
        </w:rPr>
        <w:t xml:space="preserve"> for surveys completed by mail mode and the mail portion of the mixed-mode data collection mode.</w:t>
      </w:r>
    </w:p>
    <w:p w14:paraId="5C6B958A" w14:textId="77777777" w:rsidR="00EE74F9" w:rsidRPr="002513B4" w:rsidRDefault="00EE74F9" w:rsidP="00EE74F9">
      <w:pPr>
        <w:pStyle w:val="BodyText"/>
        <w:rPr>
          <w:lang w:val="en-US"/>
        </w:rPr>
      </w:pPr>
      <w:r w:rsidRPr="002513B4">
        <w:rPr>
          <w:lang w:val="en-US"/>
        </w:rPr>
        <w:t>For telephone surveys, the proxy flag should be assigned (</w:t>
      </w:r>
      <w:r w:rsidR="002908A2" w:rsidRPr="002513B4">
        <w:rPr>
          <w:lang w:val="en-US"/>
        </w:rPr>
        <w:t>“</w:t>
      </w:r>
      <w:r w:rsidRPr="002513B4">
        <w:rPr>
          <w:lang w:val="en-US"/>
        </w:rPr>
        <w:t>1</w:t>
      </w:r>
      <w:r w:rsidR="002908A2" w:rsidRPr="002513B4">
        <w:rPr>
          <w:lang w:val="en-US"/>
        </w:rPr>
        <w:t>”</w:t>
      </w:r>
      <w:r w:rsidRPr="002513B4">
        <w:rPr>
          <w:lang w:val="en-US"/>
        </w:rPr>
        <w:t>) if the interview was completed by a proxy respondent or (</w:t>
      </w:r>
      <w:r w:rsidR="002908A2" w:rsidRPr="002513B4">
        <w:rPr>
          <w:lang w:val="en-US"/>
        </w:rPr>
        <w:t>“</w:t>
      </w:r>
      <w:r w:rsidRPr="002513B4">
        <w:rPr>
          <w:lang w:val="en-US"/>
        </w:rPr>
        <w:t>2</w:t>
      </w:r>
      <w:r w:rsidR="002908A2" w:rsidRPr="002513B4">
        <w:rPr>
          <w:lang w:val="en-US"/>
        </w:rPr>
        <w:t>”</w:t>
      </w:r>
      <w:r w:rsidRPr="002513B4">
        <w:rPr>
          <w:lang w:val="en-US"/>
        </w:rPr>
        <w:t>) if the interview was completed by the sample member. It is not acceptable to assign a proxy value of “M” for surveys completed by telephone.</w:t>
      </w:r>
    </w:p>
    <w:p w14:paraId="2654B6C3" w14:textId="0DAD340B" w:rsidR="00EE74F9" w:rsidRPr="002513B4" w:rsidRDefault="00EE74F9" w:rsidP="00EE74F9">
      <w:pPr>
        <w:pStyle w:val="ExhibitCaption"/>
        <w:rPr>
          <w:sz w:val="18"/>
          <w:szCs w:val="18"/>
        </w:rPr>
      </w:pPr>
      <w:bookmarkStart w:id="317" w:name="_Toc24713414"/>
      <w:bookmarkStart w:id="318" w:name="_Toc217024896"/>
      <w:r w:rsidRPr="002513B4">
        <w:rPr>
          <w:sz w:val="18"/>
          <w:szCs w:val="18"/>
        </w:rPr>
        <w:lastRenderedPageBreak/>
        <w:t>Exhibit 9.</w:t>
      </w:r>
      <w:r w:rsidR="00480698" w:rsidRPr="002513B4">
        <w:rPr>
          <w:sz w:val="18"/>
          <w:szCs w:val="18"/>
        </w:rPr>
        <w:t xml:space="preserve">2 </w:t>
      </w:r>
      <w:r w:rsidRPr="002513B4">
        <w:rPr>
          <w:sz w:val="18"/>
          <w:szCs w:val="18"/>
        </w:rPr>
        <w:t>When to Assign the Proxy Flag</w:t>
      </w:r>
      <w:bookmarkEnd w:id="317"/>
      <w:bookmarkEnd w:id="318"/>
    </w:p>
    <w:tbl>
      <w:tblPr>
        <w:tblW w:w="9360" w:type="dxa"/>
        <w:tblLayout w:type="fixed"/>
        <w:tblCellMar>
          <w:left w:w="115" w:type="dxa"/>
          <w:right w:w="115" w:type="dxa"/>
        </w:tblCellMar>
        <w:tblLook w:val="01E0" w:firstRow="1" w:lastRow="1" w:firstColumn="1" w:lastColumn="1" w:noHBand="0" w:noVBand="0"/>
        <w:tblCaption w:val="When to Assign HHCAHPS Proxy Flag"/>
        <w:tblDescription w:val="Exhibit 9.2 details criteria for when to assign the Proxy Flag based on Q24 and Q25 answers "/>
      </w:tblPr>
      <w:tblGrid>
        <w:gridCol w:w="3120"/>
        <w:gridCol w:w="3120"/>
        <w:gridCol w:w="3120"/>
      </w:tblGrid>
      <w:tr w:rsidR="00EE74F9" w:rsidRPr="002513B4" w14:paraId="32A93CE1" w14:textId="77777777" w:rsidTr="007A68CD">
        <w:trPr>
          <w:cantSplit/>
          <w:tblHeader/>
        </w:trPr>
        <w:tc>
          <w:tcPr>
            <w:tcW w:w="3120" w:type="dxa"/>
            <w:tcBorders>
              <w:top w:val="single" w:sz="8" w:space="0" w:color="auto"/>
              <w:bottom w:val="single" w:sz="8" w:space="0" w:color="auto"/>
            </w:tcBorders>
            <w:shd w:val="clear" w:color="auto" w:fill="1F497D"/>
            <w:vAlign w:val="bottom"/>
          </w:tcPr>
          <w:p w14:paraId="1AF41256" w14:textId="48B24B1C" w:rsidR="00EE74F9" w:rsidRPr="002513B4" w:rsidRDefault="00EE74F9" w:rsidP="00C553FE">
            <w:pPr>
              <w:pStyle w:val="TableHeaders"/>
              <w:rPr>
                <w:color w:val="FFFFFF" w:themeColor="background1"/>
                <w:sz w:val="18"/>
                <w:szCs w:val="18"/>
              </w:rPr>
            </w:pPr>
            <w:r w:rsidRPr="002513B4">
              <w:rPr>
                <w:color w:val="FFFFFF" w:themeColor="background1"/>
                <w:sz w:val="18"/>
                <w:szCs w:val="18"/>
              </w:rPr>
              <w:t>Value for Q</w:t>
            </w:r>
            <w:r w:rsidR="00E37BFF" w:rsidRPr="002513B4">
              <w:rPr>
                <w:color w:val="FFFFFF" w:themeColor="background1"/>
                <w:sz w:val="18"/>
                <w:szCs w:val="18"/>
              </w:rPr>
              <w:t>24</w:t>
            </w:r>
          </w:p>
        </w:tc>
        <w:tc>
          <w:tcPr>
            <w:tcW w:w="3120" w:type="dxa"/>
            <w:tcBorders>
              <w:top w:val="single" w:sz="8" w:space="0" w:color="auto"/>
              <w:bottom w:val="single" w:sz="8" w:space="0" w:color="auto"/>
            </w:tcBorders>
            <w:shd w:val="clear" w:color="auto" w:fill="1F497D"/>
            <w:vAlign w:val="bottom"/>
          </w:tcPr>
          <w:p w14:paraId="20702943" w14:textId="7AF84517" w:rsidR="00EE74F9" w:rsidRPr="002513B4" w:rsidRDefault="00EE74F9" w:rsidP="00C553FE">
            <w:pPr>
              <w:pStyle w:val="TableHeaders"/>
              <w:rPr>
                <w:color w:val="FFFFFF" w:themeColor="background1"/>
                <w:sz w:val="18"/>
                <w:szCs w:val="18"/>
              </w:rPr>
            </w:pPr>
            <w:r w:rsidRPr="002513B4">
              <w:rPr>
                <w:color w:val="FFFFFF" w:themeColor="background1"/>
                <w:sz w:val="18"/>
                <w:szCs w:val="18"/>
              </w:rPr>
              <w:t>Value for Q</w:t>
            </w:r>
            <w:r w:rsidR="00E37BFF" w:rsidRPr="002513B4">
              <w:rPr>
                <w:color w:val="FFFFFF" w:themeColor="background1"/>
                <w:sz w:val="18"/>
                <w:szCs w:val="18"/>
              </w:rPr>
              <w:t>25</w:t>
            </w:r>
            <w:r w:rsidRPr="002513B4">
              <w:rPr>
                <w:color w:val="FFFFFF" w:themeColor="background1"/>
                <w:sz w:val="18"/>
                <w:szCs w:val="18"/>
              </w:rPr>
              <w:t xml:space="preserve"> &lt;help-answer&gt;</w:t>
            </w:r>
          </w:p>
        </w:tc>
        <w:tc>
          <w:tcPr>
            <w:tcW w:w="3120" w:type="dxa"/>
            <w:tcBorders>
              <w:top w:val="single" w:sz="8" w:space="0" w:color="auto"/>
              <w:bottom w:val="single" w:sz="8" w:space="0" w:color="auto"/>
            </w:tcBorders>
            <w:shd w:val="clear" w:color="auto" w:fill="1F497D"/>
            <w:vAlign w:val="bottom"/>
          </w:tcPr>
          <w:p w14:paraId="09EBB5C7"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Proxy Flag</w:t>
            </w:r>
          </w:p>
        </w:tc>
      </w:tr>
      <w:tr w:rsidR="00EE74F9" w:rsidRPr="002513B4" w14:paraId="60314BD2" w14:textId="77777777" w:rsidTr="007A68CD">
        <w:trPr>
          <w:cantSplit/>
        </w:trPr>
        <w:tc>
          <w:tcPr>
            <w:tcW w:w="3120" w:type="dxa"/>
            <w:tcBorders>
              <w:top w:val="single" w:sz="8" w:space="0" w:color="auto"/>
            </w:tcBorders>
            <w:shd w:val="clear" w:color="auto" w:fill="FFFFFF"/>
          </w:tcPr>
          <w:p w14:paraId="21915650" w14:textId="77777777" w:rsidR="00EE74F9" w:rsidRPr="002513B4" w:rsidRDefault="00EE74F9" w:rsidP="00C553FE">
            <w:pPr>
              <w:pStyle w:val="TableText"/>
              <w:keepNext/>
              <w:jc w:val="center"/>
              <w:rPr>
                <w:sz w:val="18"/>
                <w:szCs w:val="18"/>
              </w:rPr>
            </w:pPr>
            <w:r w:rsidRPr="002513B4">
              <w:rPr>
                <w:sz w:val="18"/>
                <w:szCs w:val="18"/>
              </w:rPr>
              <w:t>1</w:t>
            </w:r>
          </w:p>
        </w:tc>
        <w:tc>
          <w:tcPr>
            <w:tcW w:w="3120" w:type="dxa"/>
            <w:tcBorders>
              <w:top w:val="single" w:sz="8" w:space="0" w:color="auto"/>
            </w:tcBorders>
            <w:shd w:val="clear" w:color="auto" w:fill="FFFFFF"/>
          </w:tcPr>
          <w:p w14:paraId="5FA8F4FB" w14:textId="77777777" w:rsidR="00EE74F9" w:rsidRPr="002513B4" w:rsidRDefault="00EE74F9" w:rsidP="00C553FE">
            <w:pPr>
              <w:pStyle w:val="TableText"/>
              <w:keepNext/>
              <w:jc w:val="center"/>
              <w:rPr>
                <w:sz w:val="18"/>
                <w:szCs w:val="18"/>
              </w:rPr>
            </w:pPr>
            <w:r w:rsidRPr="002513B4">
              <w:rPr>
                <w:sz w:val="18"/>
                <w:szCs w:val="18"/>
              </w:rPr>
              <w:t>1</w:t>
            </w:r>
          </w:p>
        </w:tc>
        <w:tc>
          <w:tcPr>
            <w:tcW w:w="3120" w:type="dxa"/>
            <w:tcBorders>
              <w:top w:val="single" w:sz="8" w:space="0" w:color="auto"/>
            </w:tcBorders>
            <w:shd w:val="clear" w:color="auto" w:fill="FFFFFF"/>
          </w:tcPr>
          <w:p w14:paraId="6FCB2AAE" w14:textId="77777777" w:rsidR="00EE74F9" w:rsidRPr="002513B4" w:rsidRDefault="00EE74F9" w:rsidP="00C553FE">
            <w:pPr>
              <w:pStyle w:val="TableText"/>
              <w:keepNext/>
              <w:jc w:val="center"/>
              <w:rPr>
                <w:sz w:val="18"/>
                <w:szCs w:val="18"/>
              </w:rPr>
            </w:pPr>
            <w:r w:rsidRPr="002513B4">
              <w:rPr>
                <w:sz w:val="18"/>
                <w:szCs w:val="18"/>
              </w:rPr>
              <w:t>1</w:t>
            </w:r>
          </w:p>
        </w:tc>
      </w:tr>
      <w:tr w:rsidR="00EE74F9" w:rsidRPr="002513B4" w14:paraId="07195149" w14:textId="77777777" w:rsidTr="007A68CD">
        <w:trPr>
          <w:cantSplit/>
        </w:trPr>
        <w:tc>
          <w:tcPr>
            <w:tcW w:w="3120" w:type="dxa"/>
            <w:shd w:val="clear" w:color="auto" w:fill="FFFFFF"/>
          </w:tcPr>
          <w:p w14:paraId="5E36A5CF" w14:textId="77777777" w:rsidR="00EE74F9" w:rsidRPr="002513B4" w:rsidRDefault="00EE74F9" w:rsidP="00C553FE">
            <w:pPr>
              <w:pStyle w:val="TableText"/>
              <w:keepNext/>
              <w:jc w:val="center"/>
              <w:rPr>
                <w:sz w:val="18"/>
                <w:szCs w:val="18"/>
              </w:rPr>
            </w:pPr>
            <w:r w:rsidRPr="002513B4">
              <w:rPr>
                <w:sz w:val="18"/>
                <w:szCs w:val="18"/>
              </w:rPr>
              <w:t>2</w:t>
            </w:r>
          </w:p>
        </w:tc>
        <w:tc>
          <w:tcPr>
            <w:tcW w:w="3120" w:type="dxa"/>
            <w:shd w:val="clear" w:color="auto" w:fill="FFFFFF"/>
          </w:tcPr>
          <w:p w14:paraId="7183CCF7" w14:textId="77777777" w:rsidR="00EE74F9" w:rsidRPr="002513B4" w:rsidRDefault="00EE74F9" w:rsidP="00C553FE">
            <w:pPr>
              <w:pStyle w:val="TableText"/>
              <w:keepNext/>
              <w:jc w:val="center"/>
              <w:rPr>
                <w:sz w:val="18"/>
                <w:szCs w:val="18"/>
              </w:rPr>
            </w:pPr>
            <w:r w:rsidRPr="002513B4">
              <w:rPr>
                <w:sz w:val="18"/>
                <w:szCs w:val="18"/>
              </w:rPr>
              <w:t>1</w:t>
            </w:r>
          </w:p>
        </w:tc>
        <w:tc>
          <w:tcPr>
            <w:tcW w:w="3120" w:type="dxa"/>
            <w:shd w:val="clear" w:color="auto" w:fill="FFFFFF"/>
          </w:tcPr>
          <w:p w14:paraId="685B069B" w14:textId="77777777" w:rsidR="00EE74F9" w:rsidRPr="002513B4" w:rsidRDefault="00EE74F9" w:rsidP="00C553FE">
            <w:pPr>
              <w:pStyle w:val="TableText"/>
              <w:keepNext/>
              <w:jc w:val="center"/>
              <w:rPr>
                <w:sz w:val="18"/>
                <w:szCs w:val="18"/>
              </w:rPr>
            </w:pPr>
            <w:r w:rsidRPr="002513B4">
              <w:rPr>
                <w:sz w:val="18"/>
                <w:szCs w:val="18"/>
              </w:rPr>
              <w:t>1</w:t>
            </w:r>
          </w:p>
        </w:tc>
      </w:tr>
      <w:tr w:rsidR="00EE74F9" w:rsidRPr="002513B4" w14:paraId="383D6A21" w14:textId="77777777" w:rsidTr="007A68CD">
        <w:trPr>
          <w:cantSplit/>
        </w:trPr>
        <w:tc>
          <w:tcPr>
            <w:tcW w:w="3120" w:type="dxa"/>
            <w:shd w:val="clear" w:color="auto" w:fill="FFFFFF"/>
          </w:tcPr>
          <w:p w14:paraId="7150235A" w14:textId="77777777" w:rsidR="00EE74F9" w:rsidRPr="002513B4" w:rsidRDefault="00EE74F9" w:rsidP="00C553FE">
            <w:pPr>
              <w:pStyle w:val="TableText"/>
              <w:keepNext/>
              <w:jc w:val="center"/>
              <w:rPr>
                <w:sz w:val="18"/>
                <w:szCs w:val="18"/>
              </w:rPr>
            </w:pPr>
            <w:r w:rsidRPr="002513B4">
              <w:rPr>
                <w:sz w:val="18"/>
                <w:szCs w:val="18"/>
              </w:rPr>
              <w:t>M</w:t>
            </w:r>
          </w:p>
        </w:tc>
        <w:tc>
          <w:tcPr>
            <w:tcW w:w="3120" w:type="dxa"/>
            <w:shd w:val="clear" w:color="auto" w:fill="FFFFFF"/>
          </w:tcPr>
          <w:p w14:paraId="2A6918A0" w14:textId="77777777" w:rsidR="00EE74F9" w:rsidRPr="002513B4" w:rsidRDefault="00EE74F9" w:rsidP="00C553FE">
            <w:pPr>
              <w:pStyle w:val="TableText"/>
              <w:keepNext/>
              <w:jc w:val="center"/>
              <w:rPr>
                <w:sz w:val="18"/>
                <w:szCs w:val="18"/>
              </w:rPr>
            </w:pPr>
            <w:r w:rsidRPr="002513B4">
              <w:rPr>
                <w:sz w:val="18"/>
                <w:szCs w:val="18"/>
              </w:rPr>
              <w:t>1</w:t>
            </w:r>
          </w:p>
        </w:tc>
        <w:tc>
          <w:tcPr>
            <w:tcW w:w="3120" w:type="dxa"/>
            <w:shd w:val="clear" w:color="auto" w:fill="FFFFFF"/>
          </w:tcPr>
          <w:p w14:paraId="1CE27F61" w14:textId="77777777" w:rsidR="00EE74F9" w:rsidRPr="002513B4" w:rsidRDefault="00EE74F9" w:rsidP="00C553FE">
            <w:pPr>
              <w:pStyle w:val="TableText"/>
              <w:keepNext/>
              <w:jc w:val="center"/>
              <w:rPr>
                <w:sz w:val="18"/>
                <w:szCs w:val="18"/>
              </w:rPr>
            </w:pPr>
            <w:r w:rsidRPr="002513B4">
              <w:rPr>
                <w:sz w:val="18"/>
                <w:szCs w:val="18"/>
              </w:rPr>
              <w:t>1</w:t>
            </w:r>
          </w:p>
        </w:tc>
      </w:tr>
      <w:tr w:rsidR="00EE74F9" w:rsidRPr="002513B4" w14:paraId="4FA70464" w14:textId="77777777" w:rsidTr="007A68CD">
        <w:trPr>
          <w:cantSplit/>
        </w:trPr>
        <w:tc>
          <w:tcPr>
            <w:tcW w:w="3120" w:type="dxa"/>
            <w:shd w:val="clear" w:color="auto" w:fill="FFFFFF"/>
          </w:tcPr>
          <w:p w14:paraId="271D4F2E" w14:textId="77777777" w:rsidR="00EE74F9" w:rsidRPr="002513B4" w:rsidRDefault="00EE74F9" w:rsidP="00C553FE">
            <w:pPr>
              <w:pStyle w:val="TableText"/>
              <w:keepNext/>
              <w:jc w:val="center"/>
              <w:rPr>
                <w:sz w:val="18"/>
                <w:szCs w:val="18"/>
              </w:rPr>
            </w:pPr>
            <w:r w:rsidRPr="002513B4">
              <w:rPr>
                <w:sz w:val="18"/>
                <w:szCs w:val="18"/>
              </w:rPr>
              <w:t>1</w:t>
            </w:r>
          </w:p>
        </w:tc>
        <w:tc>
          <w:tcPr>
            <w:tcW w:w="3120" w:type="dxa"/>
            <w:shd w:val="clear" w:color="auto" w:fill="FFFFFF"/>
          </w:tcPr>
          <w:p w14:paraId="2A734D5C" w14:textId="77777777" w:rsidR="00EE74F9" w:rsidRPr="002513B4" w:rsidRDefault="00EE74F9" w:rsidP="00C553FE">
            <w:pPr>
              <w:pStyle w:val="TableText"/>
              <w:keepNext/>
              <w:jc w:val="center"/>
              <w:rPr>
                <w:sz w:val="18"/>
                <w:szCs w:val="18"/>
              </w:rPr>
            </w:pPr>
            <w:r w:rsidRPr="002513B4">
              <w:rPr>
                <w:sz w:val="18"/>
                <w:szCs w:val="18"/>
              </w:rPr>
              <w:t>M</w:t>
            </w:r>
          </w:p>
        </w:tc>
        <w:tc>
          <w:tcPr>
            <w:tcW w:w="3120" w:type="dxa"/>
            <w:shd w:val="clear" w:color="auto" w:fill="FFFFFF"/>
          </w:tcPr>
          <w:p w14:paraId="246B9E5C" w14:textId="77777777" w:rsidR="00EE74F9" w:rsidRPr="002513B4" w:rsidRDefault="00EE74F9" w:rsidP="00C553FE">
            <w:pPr>
              <w:pStyle w:val="TableText"/>
              <w:keepNext/>
              <w:jc w:val="center"/>
              <w:rPr>
                <w:sz w:val="18"/>
                <w:szCs w:val="18"/>
              </w:rPr>
            </w:pPr>
            <w:r w:rsidRPr="002513B4">
              <w:rPr>
                <w:sz w:val="18"/>
                <w:szCs w:val="18"/>
              </w:rPr>
              <w:t>2</w:t>
            </w:r>
          </w:p>
        </w:tc>
      </w:tr>
      <w:tr w:rsidR="00EE74F9" w:rsidRPr="002513B4" w14:paraId="3F76246A" w14:textId="77777777" w:rsidTr="007A68CD">
        <w:trPr>
          <w:cantSplit/>
        </w:trPr>
        <w:tc>
          <w:tcPr>
            <w:tcW w:w="3120" w:type="dxa"/>
            <w:shd w:val="clear" w:color="auto" w:fill="FFFFFF"/>
          </w:tcPr>
          <w:p w14:paraId="5560496B" w14:textId="77777777" w:rsidR="00EE74F9" w:rsidRPr="002513B4" w:rsidRDefault="00EE74F9" w:rsidP="00C553FE">
            <w:pPr>
              <w:pStyle w:val="TableText"/>
              <w:keepNext/>
              <w:jc w:val="center"/>
              <w:rPr>
                <w:sz w:val="18"/>
                <w:szCs w:val="18"/>
              </w:rPr>
            </w:pPr>
            <w:r w:rsidRPr="002513B4">
              <w:rPr>
                <w:sz w:val="18"/>
                <w:szCs w:val="18"/>
              </w:rPr>
              <w:t>2</w:t>
            </w:r>
          </w:p>
        </w:tc>
        <w:tc>
          <w:tcPr>
            <w:tcW w:w="3120" w:type="dxa"/>
            <w:shd w:val="clear" w:color="auto" w:fill="FFFFFF"/>
          </w:tcPr>
          <w:p w14:paraId="69ED6695" w14:textId="77777777" w:rsidR="00EE74F9" w:rsidRPr="002513B4" w:rsidRDefault="00EE74F9" w:rsidP="00C553FE">
            <w:pPr>
              <w:pStyle w:val="TableText"/>
              <w:keepNext/>
              <w:jc w:val="center"/>
              <w:rPr>
                <w:sz w:val="18"/>
                <w:szCs w:val="18"/>
              </w:rPr>
            </w:pPr>
            <w:r w:rsidRPr="002513B4">
              <w:rPr>
                <w:sz w:val="18"/>
                <w:szCs w:val="18"/>
              </w:rPr>
              <w:t>M</w:t>
            </w:r>
          </w:p>
        </w:tc>
        <w:tc>
          <w:tcPr>
            <w:tcW w:w="3120" w:type="dxa"/>
            <w:shd w:val="clear" w:color="auto" w:fill="FFFFFF"/>
          </w:tcPr>
          <w:p w14:paraId="538564BA" w14:textId="77777777" w:rsidR="00EE74F9" w:rsidRPr="002513B4" w:rsidRDefault="00EE74F9" w:rsidP="00C553FE">
            <w:pPr>
              <w:pStyle w:val="TableText"/>
              <w:keepNext/>
              <w:jc w:val="center"/>
              <w:rPr>
                <w:sz w:val="18"/>
                <w:szCs w:val="18"/>
              </w:rPr>
            </w:pPr>
            <w:r w:rsidRPr="002513B4">
              <w:rPr>
                <w:sz w:val="18"/>
                <w:szCs w:val="18"/>
              </w:rPr>
              <w:t>2</w:t>
            </w:r>
          </w:p>
        </w:tc>
      </w:tr>
      <w:tr w:rsidR="00EE74F9" w:rsidRPr="002513B4" w14:paraId="1B9CC6B4" w14:textId="77777777" w:rsidTr="007A68CD">
        <w:trPr>
          <w:cantSplit/>
        </w:trPr>
        <w:tc>
          <w:tcPr>
            <w:tcW w:w="3120" w:type="dxa"/>
            <w:tcBorders>
              <w:bottom w:val="single" w:sz="8" w:space="0" w:color="auto"/>
            </w:tcBorders>
            <w:shd w:val="clear" w:color="auto" w:fill="FFFFFF"/>
          </w:tcPr>
          <w:p w14:paraId="325FBF1D" w14:textId="77777777" w:rsidR="00EE74F9" w:rsidRPr="002513B4" w:rsidRDefault="00EE74F9" w:rsidP="00C553FE">
            <w:pPr>
              <w:pStyle w:val="TableText"/>
              <w:keepNext/>
              <w:jc w:val="center"/>
              <w:rPr>
                <w:sz w:val="18"/>
                <w:szCs w:val="18"/>
              </w:rPr>
            </w:pPr>
            <w:r w:rsidRPr="002513B4">
              <w:rPr>
                <w:sz w:val="18"/>
                <w:szCs w:val="18"/>
              </w:rPr>
              <w:t>M</w:t>
            </w:r>
          </w:p>
        </w:tc>
        <w:tc>
          <w:tcPr>
            <w:tcW w:w="3120" w:type="dxa"/>
            <w:tcBorders>
              <w:bottom w:val="single" w:sz="8" w:space="0" w:color="auto"/>
            </w:tcBorders>
            <w:shd w:val="clear" w:color="auto" w:fill="FFFFFF"/>
          </w:tcPr>
          <w:p w14:paraId="1E3395C0" w14:textId="77777777" w:rsidR="00EE74F9" w:rsidRPr="002513B4" w:rsidRDefault="00EE74F9" w:rsidP="00C553FE">
            <w:pPr>
              <w:pStyle w:val="TableText"/>
              <w:keepNext/>
              <w:jc w:val="center"/>
              <w:rPr>
                <w:sz w:val="18"/>
                <w:szCs w:val="18"/>
              </w:rPr>
            </w:pPr>
            <w:r w:rsidRPr="002513B4">
              <w:rPr>
                <w:sz w:val="18"/>
                <w:szCs w:val="18"/>
              </w:rPr>
              <w:t>M</w:t>
            </w:r>
          </w:p>
        </w:tc>
        <w:tc>
          <w:tcPr>
            <w:tcW w:w="3120" w:type="dxa"/>
            <w:tcBorders>
              <w:bottom w:val="single" w:sz="8" w:space="0" w:color="auto"/>
            </w:tcBorders>
            <w:shd w:val="clear" w:color="auto" w:fill="FFFFFF"/>
          </w:tcPr>
          <w:p w14:paraId="3C04B4E7" w14:textId="77777777" w:rsidR="00EE74F9" w:rsidRPr="002513B4" w:rsidRDefault="00EE74F9" w:rsidP="00C553FE">
            <w:pPr>
              <w:pStyle w:val="TableText"/>
              <w:keepNext/>
              <w:jc w:val="center"/>
              <w:rPr>
                <w:sz w:val="18"/>
                <w:szCs w:val="18"/>
              </w:rPr>
            </w:pPr>
            <w:r w:rsidRPr="002513B4">
              <w:rPr>
                <w:sz w:val="18"/>
                <w:szCs w:val="18"/>
              </w:rPr>
              <w:t>M</w:t>
            </w:r>
          </w:p>
        </w:tc>
      </w:tr>
    </w:tbl>
    <w:p w14:paraId="687FB77D" w14:textId="77777777" w:rsidR="00EE74F9" w:rsidRPr="002513B4" w:rsidRDefault="00EE74F9" w:rsidP="00EE74F9">
      <w:pPr>
        <w:pStyle w:val="Source"/>
        <w:rPr>
          <w:lang w:val="en-US"/>
        </w:rPr>
      </w:pPr>
    </w:p>
    <w:p w14:paraId="06AF16EC" w14:textId="2FC7DA95" w:rsidR="00EE74F9" w:rsidRPr="002513B4" w:rsidRDefault="009D79E3" w:rsidP="00EE74F9">
      <w:pPr>
        <w:pStyle w:val="Heading3"/>
        <w:rPr>
          <w:szCs w:val="24"/>
          <w:lang w:val="en-US"/>
        </w:rPr>
      </w:pPr>
      <w:bookmarkStart w:id="319" w:name="_Toc24713381"/>
      <w:bookmarkStart w:id="320" w:name="_Toc217305611"/>
      <w:r w:rsidRPr="002513B4">
        <w:rPr>
          <w:lang w:val="en-US"/>
        </w:rPr>
        <w:t>9.6</w:t>
      </w:r>
      <w:r w:rsidRPr="002513B4">
        <w:rPr>
          <w:lang w:val="en-US"/>
        </w:rPr>
        <w:tab/>
      </w:r>
      <w:r w:rsidR="00EE74F9" w:rsidRPr="002513B4">
        <w:rPr>
          <w:lang w:val="en-US"/>
        </w:rPr>
        <w:t>Definition of a Completed Survey</w:t>
      </w:r>
      <w:bookmarkEnd w:id="319"/>
      <w:bookmarkEnd w:id="320"/>
    </w:p>
    <w:p w14:paraId="060F0D6A" w14:textId="30AAFBF1" w:rsidR="00EE74F9" w:rsidRPr="002513B4" w:rsidRDefault="00EE74F9" w:rsidP="00EE74F9">
      <w:pPr>
        <w:pStyle w:val="BodyText"/>
        <w:rPr>
          <w:lang w:val="en-US"/>
        </w:rPr>
      </w:pPr>
      <w:r w:rsidRPr="002513B4">
        <w:rPr>
          <w:lang w:val="en-US"/>
        </w:rPr>
        <w:t xml:space="preserve">A survey </w:t>
      </w:r>
      <w:proofErr w:type="gramStart"/>
      <w:r w:rsidRPr="002513B4">
        <w:rPr>
          <w:lang w:val="en-US"/>
        </w:rPr>
        <w:t>is considered to be</w:t>
      </w:r>
      <w:proofErr w:type="gramEnd"/>
      <w:r w:rsidRPr="002513B4">
        <w:rPr>
          <w:lang w:val="en-US"/>
        </w:rPr>
        <w:t xml:space="preserve"> “complete” and should be assigned a survey disposition code of 110</w:t>
      </w:r>
      <w:r w:rsidR="00B26A98" w:rsidRPr="002513B4">
        <w:rPr>
          <w:lang w:val="en-US"/>
        </w:rPr>
        <w:t>—Completed Mail Survey</w:t>
      </w:r>
      <w:r w:rsidRPr="002513B4">
        <w:rPr>
          <w:lang w:val="en-US"/>
        </w:rPr>
        <w:t xml:space="preserve"> or 120</w:t>
      </w:r>
      <w:r w:rsidR="00B26A98" w:rsidRPr="002513B4">
        <w:rPr>
          <w:lang w:val="en-US"/>
        </w:rPr>
        <w:t>—Completed Phone Interview</w:t>
      </w:r>
      <w:r w:rsidRPr="002513B4">
        <w:rPr>
          <w:lang w:val="en-US"/>
        </w:rPr>
        <w:t xml:space="preserve"> if at least 50</w:t>
      </w:r>
      <w:r w:rsidR="00B26A98" w:rsidRPr="002513B4">
        <w:rPr>
          <w:lang w:val="en-US"/>
        </w:rPr>
        <w:t>%</w:t>
      </w:r>
      <w:r w:rsidRPr="002513B4">
        <w:rPr>
          <w:lang w:val="en-US"/>
        </w:rPr>
        <w:t xml:space="preserve"> of the questions applicable to all sample members (Questions 1–1</w:t>
      </w:r>
      <w:r w:rsidR="00E37BFF" w:rsidRPr="002513B4">
        <w:rPr>
          <w:lang w:val="en-US"/>
        </w:rPr>
        <w:t>5</w:t>
      </w:r>
      <w:r w:rsidRPr="002513B4">
        <w:rPr>
          <w:lang w:val="en-US"/>
        </w:rPr>
        <w:t xml:space="preserve"> and </w:t>
      </w:r>
      <w:r w:rsidR="00E37BFF" w:rsidRPr="002513B4">
        <w:rPr>
          <w:lang w:val="en-US"/>
        </w:rPr>
        <w:t>17</w:t>
      </w:r>
      <w:r w:rsidRPr="002513B4">
        <w:rPr>
          <w:lang w:val="en-US"/>
        </w:rPr>
        <w:t>) are answered.</w:t>
      </w:r>
    </w:p>
    <w:p w14:paraId="0A825F65" w14:textId="7717455F" w:rsidR="00EE74F9" w:rsidRPr="002513B4" w:rsidRDefault="00EE74F9" w:rsidP="00EE74F9">
      <w:pPr>
        <w:pStyle w:val="ListBullet"/>
      </w:pPr>
      <w:r w:rsidRPr="002513B4">
        <w:t>Survey items that are part of skip patterns and the items in the “About You” section of the questionnaire (Questions 1</w:t>
      </w:r>
      <w:r w:rsidR="00E37BFF" w:rsidRPr="002513B4">
        <w:t>6</w:t>
      </w:r>
      <w:r w:rsidRPr="002513B4">
        <w:t xml:space="preserve"> and </w:t>
      </w:r>
      <w:r w:rsidR="00E37BFF" w:rsidRPr="002513B4">
        <w:t>18</w:t>
      </w:r>
      <w:r w:rsidRPr="002513B4">
        <w:t>–</w:t>
      </w:r>
      <w:r w:rsidR="00E37BFF" w:rsidRPr="002513B4">
        <w:t>25</w:t>
      </w:r>
      <w:r w:rsidRPr="002513B4">
        <w:t xml:space="preserve">) should </w:t>
      </w:r>
      <w:r w:rsidRPr="002513B4">
        <w:rPr>
          <w:b/>
          <w:bCs/>
        </w:rPr>
        <w:t>not</w:t>
      </w:r>
      <w:r w:rsidRPr="002513B4">
        <w:t xml:space="preserve"> be included in the calculation of percentage complete. Question 1 is included, however.</w:t>
      </w:r>
    </w:p>
    <w:p w14:paraId="46926EE5" w14:textId="77777777" w:rsidR="00EE74F9" w:rsidRPr="002513B4" w:rsidRDefault="00EE74F9" w:rsidP="00EE74F9">
      <w:pPr>
        <w:pStyle w:val="ListBullet"/>
      </w:pPr>
      <w:r w:rsidRPr="002513B4">
        <w:t xml:space="preserve">Responses of “Don’t Know” and “Refuse” should be recoded to missing </w:t>
      </w:r>
      <w:r w:rsidR="00B26A98" w:rsidRPr="002513B4">
        <w:t>(</w:t>
      </w:r>
      <w:r w:rsidRPr="002513B4">
        <w:t>“M”</w:t>
      </w:r>
      <w:r w:rsidR="00B26A98" w:rsidRPr="002513B4">
        <w:t>)</w:t>
      </w:r>
      <w:r w:rsidRPr="002513B4">
        <w:t xml:space="preserve"> and should </w:t>
      </w:r>
      <w:r w:rsidRPr="002513B4">
        <w:rPr>
          <w:b/>
          <w:bCs/>
        </w:rPr>
        <w:t>not</w:t>
      </w:r>
      <w:r w:rsidRPr="002513B4">
        <w:t xml:space="preserve"> be counted as responses.</w:t>
      </w:r>
    </w:p>
    <w:p w14:paraId="7AB532C9" w14:textId="2A8427B6" w:rsidR="00EE74F9" w:rsidRPr="002513B4" w:rsidRDefault="00EE74F9" w:rsidP="00EE74F9">
      <w:pPr>
        <w:pStyle w:val="ListBullet"/>
      </w:pPr>
      <w:r w:rsidRPr="002513B4">
        <w:t xml:space="preserve">Use the steps in </w:t>
      </w:r>
      <w:r w:rsidRPr="002513B4">
        <w:rPr>
          <w:b/>
          <w:i/>
        </w:rPr>
        <w:t>Exhibit 9.</w:t>
      </w:r>
      <w:r w:rsidR="00480698" w:rsidRPr="002513B4">
        <w:rPr>
          <w:b/>
          <w:i/>
        </w:rPr>
        <w:t>3</w:t>
      </w:r>
      <w:r w:rsidR="00480698" w:rsidRPr="002513B4">
        <w:t xml:space="preserve"> </w:t>
      </w:r>
      <w:r w:rsidRPr="002513B4">
        <w:t>to determine whether a survey can be considered “complete.”</w:t>
      </w:r>
    </w:p>
    <w:p w14:paraId="146A42EE" w14:textId="74C7BA65" w:rsidR="00EE74F9" w:rsidRPr="002513B4" w:rsidRDefault="00EE74F9" w:rsidP="00EE74F9">
      <w:pPr>
        <w:pStyle w:val="ExhibitCaption"/>
        <w:rPr>
          <w:sz w:val="18"/>
          <w:szCs w:val="18"/>
        </w:rPr>
      </w:pPr>
      <w:bookmarkStart w:id="321" w:name="_Toc24713415"/>
      <w:bookmarkStart w:id="322" w:name="_Toc217024897"/>
      <w:r w:rsidRPr="002513B4">
        <w:rPr>
          <w:sz w:val="18"/>
          <w:szCs w:val="18"/>
        </w:rPr>
        <w:t>Exhibit 9.</w:t>
      </w:r>
      <w:r w:rsidR="00480698" w:rsidRPr="002513B4">
        <w:rPr>
          <w:sz w:val="18"/>
          <w:szCs w:val="18"/>
        </w:rPr>
        <w:t xml:space="preserve">3 </w:t>
      </w:r>
      <w:r w:rsidRPr="002513B4">
        <w:rPr>
          <w:sz w:val="18"/>
          <w:szCs w:val="18"/>
        </w:rPr>
        <w:t>Steps for Determining Whether a Questionnaire Meets Completeness Criteria</w:t>
      </w:r>
      <w:bookmarkEnd w:id="321"/>
      <w:bookmarkEnd w:id="322"/>
    </w:p>
    <w:tbl>
      <w:tblPr>
        <w:tblStyle w:val="TableGrid"/>
        <w:tblW w:w="0" w:type="auto"/>
        <w:tblInd w:w="187" w:type="dxa"/>
        <w:shd w:val="clear" w:color="auto" w:fill="D9D9D9"/>
        <w:tblLook w:val="04A0" w:firstRow="1" w:lastRow="0" w:firstColumn="1" w:lastColumn="0" w:noHBand="0" w:noVBand="1"/>
      </w:tblPr>
      <w:tblGrid>
        <w:gridCol w:w="9163"/>
      </w:tblGrid>
      <w:tr w:rsidR="00B47F55" w:rsidRPr="002513B4" w14:paraId="73FD2C79" w14:textId="77777777" w:rsidTr="00B47F55">
        <w:tc>
          <w:tcPr>
            <w:tcW w:w="9350" w:type="dxa"/>
            <w:shd w:val="clear" w:color="auto" w:fill="D9D9D9"/>
          </w:tcPr>
          <w:p w14:paraId="7A87B079" w14:textId="77777777" w:rsidR="00B47F55" w:rsidRPr="002513B4" w:rsidRDefault="00B47F55" w:rsidP="00B47F55">
            <w:pPr>
              <w:spacing w:before="120" w:after="120" w:line="240" w:lineRule="auto"/>
              <w:rPr>
                <w:rFonts w:cs="Arial"/>
                <w:sz w:val="18"/>
                <w:szCs w:val="18"/>
              </w:rPr>
            </w:pPr>
            <w:r w:rsidRPr="002513B4">
              <w:rPr>
                <w:rFonts w:cs="Arial"/>
                <w:sz w:val="18"/>
                <w:szCs w:val="18"/>
              </w:rPr>
              <w:t xml:space="preserve">Sum the number of questions that have been answered by the respondent that are applicable to all patients. These include questions 1-15 and 17. </w:t>
            </w:r>
          </w:p>
          <w:p w14:paraId="428A0D10" w14:textId="77777777" w:rsidR="00B47F55" w:rsidRPr="002513B4" w:rsidRDefault="00B47F55" w:rsidP="00B47F55">
            <w:pPr>
              <w:spacing w:before="120" w:after="120" w:line="240" w:lineRule="auto"/>
              <w:jc w:val="center"/>
              <w:rPr>
                <w:rFonts w:cs="Arial"/>
                <w:sz w:val="18"/>
                <w:szCs w:val="18"/>
              </w:rPr>
            </w:pPr>
            <w:r w:rsidRPr="002513B4">
              <w:rPr>
                <w:rFonts w:cs="Arial"/>
                <w:sz w:val="18"/>
                <w:szCs w:val="18"/>
              </w:rPr>
              <w:t>R = total number of questions answered</w:t>
            </w:r>
          </w:p>
          <w:p w14:paraId="4524096F" w14:textId="77777777" w:rsidR="00B47F55" w:rsidRPr="002513B4" w:rsidRDefault="00B47F55" w:rsidP="00B47F55">
            <w:pPr>
              <w:spacing w:before="120" w:after="120" w:line="240" w:lineRule="auto"/>
              <w:rPr>
                <w:rFonts w:cs="Arial"/>
                <w:sz w:val="18"/>
                <w:szCs w:val="18"/>
              </w:rPr>
            </w:pPr>
            <w:r w:rsidRPr="002513B4">
              <w:rPr>
                <w:rFonts w:cs="Arial"/>
                <w:sz w:val="18"/>
                <w:szCs w:val="18"/>
              </w:rPr>
              <w:t xml:space="preserve">Divide the total number of questions answered by 16, which is the total number of questions applicable to all patients, and then multiple by 100 to determine the percentage. </w:t>
            </w:r>
          </w:p>
          <w:p w14:paraId="128AD360" w14:textId="02BEBF90" w:rsidR="00B47F55" w:rsidRPr="002513B4" w:rsidRDefault="00B47F55" w:rsidP="00B47F55">
            <w:pPr>
              <w:spacing w:before="120" w:after="120" w:line="240" w:lineRule="auto"/>
              <w:jc w:val="center"/>
              <w:rPr>
                <w:rFonts w:cs="Arial"/>
                <w:sz w:val="18"/>
                <w:szCs w:val="18"/>
              </w:rPr>
            </w:pPr>
            <w:r w:rsidRPr="002513B4">
              <w:rPr>
                <w:rFonts w:cs="Arial"/>
                <w:sz w:val="18"/>
                <w:szCs w:val="18"/>
              </w:rPr>
              <w:t xml:space="preserve">Percentage Complete = (R </w:t>
            </w:r>
            <w:r w:rsidR="00C026F7" w:rsidRPr="002513B4">
              <w:t>∕</w:t>
            </w:r>
            <w:r w:rsidRPr="002513B4">
              <w:rPr>
                <w:rFonts w:cs="Arial"/>
                <w:sz w:val="18"/>
                <w:szCs w:val="18"/>
              </w:rPr>
              <w:t xml:space="preserve"> 16) x 100</w:t>
            </w:r>
          </w:p>
          <w:p w14:paraId="0DF7BC3D" w14:textId="728EBC47" w:rsidR="00B47F55" w:rsidRPr="002513B4" w:rsidRDefault="00B47F55" w:rsidP="00B47F55">
            <w:pPr>
              <w:spacing w:before="120" w:after="120" w:line="240" w:lineRule="auto"/>
              <w:rPr>
                <w:rFonts w:cs="Arial"/>
                <w:sz w:val="18"/>
                <w:szCs w:val="18"/>
              </w:rPr>
            </w:pPr>
            <w:r w:rsidRPr="002513B4">
              <w:rPr>
                <w:rFonts w:cs="Arial"/>
                <w:sz w:val="18"/>
                <w:szCs w:val="18"/>
              </w:rPr>
              <w:t xml:space="preserve">If the Percentage Complete is greater than or equal to 50 percent, then assign the applicable survey completed disposition code (code 110 or 120) to indicate that the case meets the definition of a completed survey. Otherwise, assign the disposition code of breakoff (code 310) to the case. </w:t>
            </w:r>
          </w:p>
        </w:tc>
      </w:tr>
    </w:tbl>
    <w:p w14:paraId="02EB5789" w14:textId="77777777" w:rsidR="00B47F55" w:rsidRPr="002513B4" w:rsidRDefault="00B47F55" w:rsidP="00B47F55">
      <w:pPr>
        <w:pStyle w:val="exhibitsource"/>
      </w:pPr>
    </w:p>
    <w:p w14:paraId="24AC4A93" w14:textId="16C5EE5E" w:rsidR="00EE74F9" w:rsidRPr="002513B4" w:rsidRDefault="009D79E3" w:rsidP="00EE74F9">
      <w:pPr>
        <w:pStyle w:val="Heading3"/>
        <w:rPr>
          <w:lang w:val="en-US"/>
        </w:rPr>
      </w:pPr>
      <w:bookmarkStart w:id="323" w:name="_Toc24713382"/>
      <w:bookmarkStart w:id="324" w:name="_Toc217305612"/>
      <w:r w:rsidRPr="002513B4">
        <w:rPr>
          <w:lang w:val="en-US"/>
        </w:rPr>
        <w:t>9.7</w:t>
      </w:r>
      <w:r w:rsidRPr="002513B4">
        <w:rPr>
          <w:lang w:val="en-US"/>
        </w:rPr>
        <w:tab/>
      </w:r>
      <w:r w:rsidR="00EE74F9" w:rsidRPr="002513B4">
        <w:rPr>
          <w:lang w:val="en-US"/>
        </w:rPr>
        <w:t>Computing the Response Rate</w:t>
      </w:r>
      <w:bookmarkEnd w:id="323"/>
      <w:bookmarkEnd w:id="324"/>
    </w:p>
    <w:p w14:paraId="00B5AA72" w14:textId="2D46A695" w:rsidR="00EE74F9" w:rsidRPr="002513B4" w:rsidRDefault="00EE74F9" w:rsidP="00EE74F9">
      <w:pPr>
        <w:pStyle w:val="BodyText"/>
        <w:rPr>
          <w:szCs w:val="24"/>
          <w:lang w:val="en-US"/>
        </w:rPr>
      </w:pPr>
      <w:r w:rsidRPr="002513B4">
        <w:rPr>
          <w:lang w:val="en-US"/>
        </w:rPr>
        <w:t xml:space="preserve">Survey vendors are not required to compute a response rate for each monthly sample. However, CMS will compute and report a response rate for each </w:t>
      </w:r>
      <w:r w:rsidR="00D230DE" w:rsidRPr="002513B4">
        <w:rPr>
          <w:lang w:val="en-US"/>
        </w:rPr>
        <w:t xml:space="preserve">participating </w:t>
      </w:r>
      <w:r w:rsidRPr="002513B4">
        <w:rPr>
          <w:lang w:val="en-US"/>
        </w:rPr>
        <w:t xml:space="preserve">HHA when </w:t>
      </w:r>
      <w:r w:rsidRPr="002513B4">
        <w:rPr>
          <w:lang w:val="en-US"/>
        </w:rPr>
        <w:lastRenderedPageBreak/>
        <w:t xml:space="preserve">survey results are publicly reported. For a given public reporting period (i.e., the last four quarters of collected data), a response rate for each HHA will be calculated as described in </w:t>
      </w:r>
      <w:r w:rsidRPr="002513B4">
        <w:rPr>
          <w:b/>
          <w:i/>
          <w:lang w:val="en-US"/>
        </w:rPr>
        <w:t>Exhibit 9.</w:t>
      </w:r>
      <w:r w:rsidR="004B7428" w:rsidRPr="002513B4">
        <w:rPr>
          <w:b/>
          <w:i/>
          <w:lang w:val="en-US"/>
        </w:rPr>
        <w:t>4</w:t>
      </w:r>
      <w:r w:rsidRPr="002513B4">
        <w:rPr>
          <w:lang w:val="en-US"/>
        </w:rPr>
        <w:t xml:space="preserve">. The information below is provided for illustrative </w:t>
      </w:r>
      <w:r w:rsidRPr="002513B4">
        <w:rPr>
          <w:szCs w:val="24"/>
          <w:lang w:val="en-US"/>
        </w:rPr>
        <w:t>purposes only.</w:t>
      </w:r>
    </w:p>
    <w:p w14:paraId="54587E00" w14:textId="3F37A48F" w:rsidR="00EE74F9" w:rsidRPr="002513B4" w:rsidRDefault="00EE74F9" w:rsidP="00677D85">
      <w:pPr>
        <w:pStyle w:val="ExhibitCaption"/>
        <w:rPr>
          <w:sz w:val="18"/>
          <w:szCs w:val="18"/>
        </w:rPr>
      </w:pPr>
      <w:bookmarkStart w:id="325" w:name="_Toc24713416"/>
      <w:bookmarkStart w:id="326" w:name="_Toc217024898"/>
      <w:r w:rsidRPr="002513B4">
        <w:rPr>
          <w:sz w:val="18"/>
          <w:szCs w:val="18"/>
        </w:rPr>
        <w:t>Exhibit 9.</w:t>
      </w:r>
      <w:r w:rsidR="004B7428" w:rsidRPr="002513B4">
        <w:rPr>
          <w:sz w:val="18"/>
          <w:szCs w:val="18"/>
        </w:rPr>
        <w:t xml:space="preserve">4 </w:t>
      </w:r>
      <w:r w:rsidRPr="002513B4">
        <w:rPr>
          <w:sz w:val="18"/>
          <w:szCs w:val="18"/>
        </w:rPr>
        <w:t>How Response Rates Are Calculated</w:t>
      </w:r>
      <w:bookmarkEnd w:id="325"/>
      <w:bookmarkEnd w:id="326"/>
    </w:p>
    <w:tbl>
      <w:tblPr>
        <w:tblStyle w:val="TableGrid"/>
        <w:tblW w:w="0" w:type="auto"/>
        <w:tblInd w:w="187" w:type="dxa"/>
        <w:shd w:val="clear" w:color="auto" w:fill="D9D9D9"/>
        <w:tblLook w:val="04A0" w:firstRow="1" w:lastRow="0" w:firstColumn="1" w:lastColumn="0" w:noHBand="0" w:noVBand="1"/>
      </w:tblPr>
      <w:tblGrid>
        <w:gridCol w:w="9163"/>
      </w:tblGrid>
      <w:tr w:rsidR="00B47F55" w:rsidRPr="002513B4" w14:paraId="2398ACF8" w14:textId="77777777" w:rsidTr="00B47F55">
        <w:tc>
          <w:tcPr>
            <w:tcW w:w="9350" w:type="dxa"/>
            <w:shd w:val="clear" w:color="auto" w:fill="D9D9D9"/>
          </w:tcPr>
          <w:p w14:paraId="581D383F" w14:textId="77777777" w:rsidR="00B47F55" w:rsidRPr="002513B4" w:rsidRDefault="00B47F55" w:rsidP="00B47F55">
            <w:pPr>
              <w:spacing w:before="120" w:after="120" w:line="240" w:lineRule="auto"/>
              <w:jc w:val="center"/>
              <w:rPr>
                <w:rFonts w:cs="Arial"/>
                <w:b/>
                <w:bCs/>
                <w:sz w:val="18"/>
                <w:szCs w:val="18"/>
              </w:rPr>
            </w:pPr>
            <w:r w:rsidRPr="002513B4">
              <w:rPr>
                <w:rFonts w:cs="Arial"/>
                <w:b/>
                <w:bCs/>
                <w:sz w:val="18"/>
                <w:szCs w:val="18"/>
              </w:rPr>
              <w:t>Response Rate =</w:t>
            </w:r>
          </w:p>
          <w:p w14:paraId="7403A353" w14:textId="77777777" w:rsidR="00B47F55" w:rsidRPr="002513B4" w:rsidRDefault="00B47F55" w:rsidP="00B47F55">
            <w:pPr>
              <w:spacing w:before="120" w:line="240" w:lineRule="auto"/>
              <w:jc w:val="center"/>
              <w:rPr>
                <w:rFonts w:cs="Arial"/>
                <w:b/>
                <w:bCs/>
                <w:sz w:val="18"/>
                <w:szCs w:val="18"/>
                <w:u w:val="single"/>
              </w:rPr>
            </w:pPr>
            <w:r w:rsidRPr="002513B4">
              <w:rPr>
                <w:rFonts w:cs="Arial"/>
                <w:b/>
                <w:bCs/>
                <w:sz w:val="18"/>
                <w:szCs w:val="18"/>
                <w:u w:val="single"/>
              </w:rPr>
              <w:t>Total Number of Completed Surveys</w:t>
            </w:r>
          </w:p>
          <w:p w14:paraId="4A9D8A35" w14:textId="77777777" w:rsidR="00B47F55" w:rsidRPr="002513B4" w:rsidRDefault="00B47F55" w:rsidP="00B47F55">
            <w:pPr>
              <w:spacing w:after="120" w:line="240" w:lineRule="auto"/>
              <w:jc w:val="center"/>
              <w:rPr>
                <w:rFonts w:cs="Arial"/>
                <w:b/>
                <w:bCs/>
                <w:sz w:val="18"/>
                <w:szCs w:val="18"/>
              </w:rPr>
            </w:pPr>
            <w:r w:rsidRPr="002513B4">
              <w:rPr>
                <w:rFonts w:cs="Arial"/>
                <w:b/>
                <w:bCs/>
                <w:sz w:val="18"/>
                <w:szCs w:val="18"/>
              </w:rPr>
              <w:t>Total Number of Surveys Fielded – Total Number of Ineligible Surveys</w:t>
            </w:r>
          </w:p>
          <w:p w14:paraId="18CBF231" w14:textId="77777777" w:rsidR="00B47F55" w:rsidRPr="002513B4" w:rsidRDefault="00B47F55" w:rsidP="00B47F55">
            <w:pPr>
              <w:spacing w:before="120" w:after="120" w:line="240" w:lineRule="auto"/>
              <w:rPr>
                <w:rFonts w:cs="Arial"/>
                <w:sz w:val="18"/>
                <w:szCs w:val="18"/>
              </w:rPr>
            </w:pPr>
            <w:r w:rsidRPr="002513B4">
              <w:rPr>
                <w:rFonts w:cs="Arial"/>
                <w:sz w:val="18"/>
                <w:szCs w:val="18"/>
              </w:rPr>
              <w:t xml:space="preserve">Total Number of Completed Surveys is the number of surveys assigned a final survey disposition code of 110 and 120. </w:t>
            </w:r>
          </w:p>
          <w:p w14:paraId="6316FA98" w14:textId="77777777" w:rsidR="00B47F55" w:rsidRPr="002513B4" w:rsidRDefault="00B47F55" w:rsidP="00B47F55">
            <w:pPr>
              <w:spacing w:before="120" w:after="120" w:line="240" w:lineRule="auto"/>
              <w:rPr>
                <w:rFonts w:cs="Arial"/>
                <w:sz w:val="18"/>
                <w:szCs w:val="18"/>
              </w:rPr>
            </w:pPr>
            <w:r w:rsidRPr="002513B4">
              <w:rPr>
                <w:rFonts w:cs="Arial"/>
                <w:sz w:val="18"/>
                <w:szCs w:val="18"/>
              </w:rPr>
              <w:t xml:space="preserve">Total Number of Surveys Fielded is the total number of patients selected for the survey in the sample month. This includes all cases with a final survey disposition code of 110 through 350. </w:t>
            </w:r>
          </w:p>
          <w:p w14:paraId="77CD8C9F" w14:textId="0E70EADC" w:rsidR="00B47F55" w:rsidRPr="002513B4" w:rsidRDefault="00B47F55" w:rsidP="00B47F55">
            <w:pPr>
              <w:spacing w:before="120" w:after="120" w:line="240" w:lineRule="auto"/>
              <w:rPr>
                <w:rFonts w:cs="Arial"/>
                <w:sz w:val="18"/>
                <w:szCs w:val="18"/>
              </w:rPr>
            </w:pPr>
            <w:r w:rsidRPr="002513B4">
              <w:rPr>
                <w:rFonts w:cs="Arial"/>
                <w:sz w:val="18"/>
                <w:szCs w:val="18"/>
              </w:rPr>
              <w:t xml:space="preserve">Total Number of Ineligible Surveys is the number of sample cases assigned a final survey disposition code of 210, 220, 230, or 240. No other cases will be removed from the denominator. </w:t>
            </w:r>
          </w:p>
        </w:tc>
      </w:tr>
    </w:tbl>
    <w:p w14:paraId="431B705E" w14:textId="77777777" w:rsidR="00B47F55" w:rsidRPr="002513B4" w:rsidRDefault="00B47F55" w:rsidP="00B47F55">
      <w:pPr>
        <w:pStyle w:val="exhibitsource"/>
      </w:pPr>
    </w:p>
    <w:p w14:paraId="1CC7FB65" w14:textId="016D8B5E" w:rsidR="00EE74F9" w:rsidRPr="002513B4" w:rsidRDefault="009D79E3" w:rsidP="00EE74F9">
      <w:pPr>
        <w:pStyle w:val="Heading3"/>
        <w:rPr>
          <w:lang w:val="en-US"/>
        </w:rPr>
      </w:pPr>
      <w:bookmarkStart w:id="327" w:name="_Toc407633104"/>
      <w:bookmarkStart w:id="328" w:name="_Toc24713383"/>
      <w:bookmarkStart w:id="329" w:name="_Toc217305613"/>
      <w:r w:rsidRPr="002513B4">
        <w:rPr>
          <w:lang w:val="en-US"/>
        </w:rPr>
        <w:t>9.8</w:t>
      </w:r>
      <w:r w:rsidRPr="002513B4">
        <w:rPr>
          <w:lang w:val="en-US"/>
        </w:rPr>
        <w:tab/>
      </w:r>
      <w:r w:rsidR="00EE74F9" w:rsidRPr="002513B4">
        <w:rPr>
          <w:lang w:val="en-US"/>
        </w:rPr>
        <w:t xml:space="preserve">Quality Control </w:t>
      </w:r>
      <w:bookmarkEnd w:id="327"/>
      <w:r w:rsidR="00EE74F9" w:rsidRPr="002513B4">
        <w:rPr>
          <w:lang w:val="en-US"/>
        </w:rPr>
        <w:t>Guidelines</w:t>
      </w:r>
      <w:bookmarkEnd w:id="328"/>
      <w:bookmarkEnd w:id="329"/>
    </w:p>
    <w:p w14:paraId="3F0404A5" w14:textId="54B0D558" w:rsidR="00EE74F9" w:rsidRPr="002513B4" w:rsidRDefault="00EE74F9" w:rsidP="00EE74F9">
      <w:pPr>
        <w:pStyle w:val="BodyText"/>
        <w:rPr>
          <w:lang w:val="en-US"/>
        </w:rPr>
      </w:pPr>
      <w:r w:rsidRPr="002513B4">
        <w:rPr>
          <w:lang w:val="en-US"/>
        </w:rPr>
        <w:t xml:space="preserve">Vendors are strongly encouraged to implement quality control measures for every aspect of mail and telephone data processing activities. Required and recommended quality control measures are described in detail in the mail, telephone, and mixed-mode </w:t>
      </w:r>
      <w:r w:rsidR="004A2ADC" w:rsidRPr="002513B4">
        <w:rPr>
          <w:lang w:val="en-US"/>
        </w:rPr>
        <w:t>survey administration</w:t>
      </w:r>
      <w:r w:rsidRPr="002513B4">
        <w:rPr>
          <w:lang w:val="en-US"/>
        </w:rPr>
        <w:t xml:space="preserve"> chapters </w:t>
      </w:r>
      <w:r w:rsidR="004A2ADC" w:rsidRPr="002513B4">
        <w:rPr>
          <w:lang w:val="en-US"/>
        </w:rPr>
        <w:t>(</w:t>
      </w:r>
      <w:r w:rsidR="004A2ADC" w:rsidRPr="002513B4">
        <w:rPr>
          <w:b/>
          <w:bCs/>
          <w:i/>
          <w:iCs/>
          <w:lang w:val="en-US"/>
        </w:rPr>
        <w:t xml:space="preserve">Chapters </w:t>
      </w:r>
      <w:r w:rsidR="00052BBA" w:rsidRPr="002513B4">
        <w:rPr>
          <w:b/>
          <w:bCs/>
          <w:i/>
          <w:iCs/>
          <w:lang w:val="en-US"/>
        </w:rPr>
        <w:t>5</w:t>
      </w:r>
      <w:r w:rsidR="004A2ADC" w:rsidRPr="002513B4">
        <w:rPr>
          <w:b/>
          <w:bCs/>
          <w:i/>
          <w:iCs/>
          <w:lang w:val="en-US"/>
        </w:rPr>
        <w:t xml:space="preserve">, </w:t>
      </w:r>
      <w:r w:rsidR="00052BBA" w:rsidRPr="002513B4">
        <w:rPr>
          <w:b/>
          <w:bCs/>
          <w:i/>
          <w:iCs/>
          <w:lang w:val="en-US"/>
        </w:rPr>
        <w:t>6</w:t>
      </w:r>
      <w:r w:rsidR="007F6AA1" w:rsidRPr="002513B4">
        <w:rPr>
          <w:b/>
          <w:bCs/>
          <w:i/>
          <w:iCs/>
          <w:lang w:val="en-US"/>
        </w:rPr>
        <w:t>,</w:t>
      </w:r>
      <w:r w:rsidR="004A2ADC" w:rsidRPr="002513B4">
        <w:rPr>
          <w:lang w:val="en-US"/>
        </w:rPr>
        <w:t xml:space="preserve"> and </w:t>
      </w:r>
      <w:r w:rsidR="00052BBA" w:rsidRPr="002513B4">
        <w:rPr>
          <w:b/>
          <w:bCs/>
          <w:i/>
          <w:iCs/>
          <w:lang w:val="en-US"/>
        </w:rPr>
        <w:t>7</w:t>
      </w:r>
      <w:r w:rsidR="004A2ADC" w:rsidRPr="002513B4">
        <w:rPr>
          <w:lang w:val="en-US"/>
        </w:rPr>
        <w:t xml:space="preserve">) </w:t>
      </w:r>
      <w:r w:rsidRPr="002513B4">
        <w:rPr>
          <w:lang w:val="en-US"/>
        </w:rPr>
        <w:t>and are not repeated here. In this section, we focus on quality control measures associated with coding and data processing activities only. Quality control measures are listed by topic in the paragraphs that follow. Vendors should conduct additional quality control measures as warranted, based on their individual processes. All quality control checks should be conducted by a different person than the one who completed the task.</w:t>
      </w:r>
    </w:p>
    <w:p w14:paraId="1832F533" w14:textId="78EB4BA9" w:rsidR="00EE74F9" w:rsidRPr="002513B4" w:rsidRDefault="009D79E3" w:rsidP="00EE74F9">
      <w:pPr>
        <w:pStyle w:val="Heading4"/>
        <w:rPr>
          <w:lang w:val="en-US"/>
        </w:rPr>
      </w:pPr>
      <w:r w:rsidRPr="002513B4">
        <w:rPr>
          <w:lang w:val="en-US"/>
        </w:rPr>
        <w:t>9.8.1</w:t>
      </w:r>
      <w:r w:rsidR="00076B80" w:rsidRPr="002513B4">
        <w:rPr>
          <w:lang w:val="en-US"/>
        </w:rPr>
        <w:tab/>
      </w:r>
      <w:r w:rsidR="00EE74F9" w:rsidRPr="002513B4">
        <w:rPr>
          <w:lang w:val="en-US"/>
        </w:rPr>
        <w:t>Quality Control for Mail Survey Data Processing Activities</w:t>
      </w:r>
    </w:p>
    <w:p w14:paraId="75F57566" w14:textId="77777777" w:rsidR="00EE74F9" w:rsidRPr="002513B4" w:rsidRDefault="00EE74F9" w:rsidP="00EE74F9">
      <w:pPr>
        <w:pStyle w:val="ListBullet"/>
      </w:pPr>
      <w:r w:rsidRPr="002513B4">
        <w:t>Vendors should select and review a sample of cases coded by each coder to make sure that coding rules were followed correctly.</w:t>
      </w:r>
    </w:p>
    <w:p w14:paraId="64A5BC05" w14:textId="77777777" w:rsidR="004A2ADC" w:rsidRPr="002513B4" w:rsidRDefault="00EE74F9" w:rsidP="00076B80">
      <w:pPr>
        <w:pStyle w:val="ListBullet"/>
        <w:spacing w:after="120"/>
      </w:pPr>
      <w:r w:rsidRPr="002513B4">
        <w:t>Before submitting data to the HHCAHPS Data Center, we</w:t>
      </w:r>
      <w:r w:rsidR="004A2ADC" w:rsidRPr="002513B4">
        <w:t xml:space="preserve"> highly</w:t>
      </w:r>
      <w:r w:rsidRPr="002513B4">
        <w:t xml:space="preserve"> recommend that vendors </w:t>
      </w:r>
      <w:r w:rsidR="004A2ADC" w:rsidRPr="002513B4">
        <w:t xml:space="preserve">do the following: </w:t>
      </w:r>
    </w:p>
    <w:p w14:paraId="452AF04C" w14:textId="77777777" w:rsidR="00EE74F9" w:rsidRPr="002513B4" w:rsidRDefault="007F6AA1" w:rsidP="00A62DD9">
      <w:pPr>
        <w:pStyle w:val="ListBullet2"/>
      </w:pPr>
      <w:r w:rsidRPr="002513B4">
        <w:t xml:space="preserve">Review </w:t>
      </w:r>
      <w:r w:rsidR="00EE74F9" w:rsidRPr="002513B4">
        <w:t xml:space="preserve">a sample of cases </w:t>
      </w:r>
      <w:r w:rsidR="004A2ADC" w:rsidRPr="002513B4">
        <w:t>(of at least 10%) comparing the responses recorded on the hardcopy questionnaires to</w:t>
      </w:r>
      <w:r w:rsidR="00EE74F9" w:rsidRPr="002513B4">
        <w:t xml:space="preserve"> the response</w:t>
      </w:r>
      <w:r w:rsidR="004A2ADC" w:rsidRPr="002513B4">
        <w:t xml:space="preserve"> code</w:t>
      </w:r>
      <w:r w:rsidR="00EE74F9" w:rsidRPr="002513B4">
        <w:t xml:space="preserve">s </w:t>
      </w:r>
      <w:r w:rsidR="004A2ADC" w:rsidRPr="002513B4">
        <w:t>that appear</w:t>
      </w:r>
      <w:r w:rsidR="00EE74F9" w:rsidRPr="002513B4">
        <w:t xml:space="preserve"> </w:t>
      </w:r>
      <w:r w:rsidR="004A2ADC" w:rsidRPr="002513B4">
        <w:t>i</w:t>
      </w:r>
      <w:r w:rsidR="00EE74F9" w:rsidRPr="002513B4">
        <w:t xml:space="preserve">n the </w:t>
      </w:r>
      <w:r w:rsidR="00D818AA" w:rsidRPr="002513B4">
        <w:t>XML data file</w:t>
      </w:r>
      <w:r w:rsidR="00EE74F9" w:rsidRPr="002513B4">
        <w:t xml:space="preserve">. This quality control step will ensure that the responses included in the </w:t>
      </w:r>
      <w:r w:rsidR="00D818AA" w:rsidRPr="002513B4">
        <w:t>XML data file</w:t>
      </w:r>
      <w:r w:rsidR="00EE74F9" w:rsidRPr="002513B4">
        <w:t>s accurately reflect the sample patients’ responses to the survey questions.</w:t>
      </w:r>
    </w:p>
    <w:p w14:paraId="1B515D57" w14:textId="77777777" w:rsidR="004A2ADC" w:rsidRPr="002513B4" w:rsidRDefault="007F6AA1" w:rsidP="006D6980">
      <w:pPr>
        <w:pStyle w:val="ListBullet2"/>
        <w:spacing w:after="120"/>
      </w:pPr>
      <w:r w:rsidRPr="002513B4">
        <w:lastRenderedPageBreak/>
        <w:t xml:space="preserve">Review </w:t>
      </w:r>
      <w:r w:rsidR="004A2ADC" w:rsidRPr="002513B4">
        <w:t>a sample of cases (at least 10%) with a noncomplete final code (i.e., cases with a final disposition other than 110—Completed Mail Survey or 310—Breakoff) against the original source of information that resulted in the case being finalized. This could include reviewing vendor’s toll-free telephone number call-in tracker, handwritten notes on mail survey, white mail, etc.</w:t>
      </w:r>
    </w:p>
    <w:p w14:paraId="1B76A242" w14:textId="77777777" w:rsidR="00EE74F9" w:rsidRPr="002513B4" w:rsidRDefault="00EE74F9" w:rsidP="00EE74F9">
      <w:pPr>
        <w:pStyle w:val="ListBullet"/>
      </w:pPr>
      <w:r w:rsidRPr="002513B4">
        <w:t xml:space="preserve">Vendors </w:t>
      </w:r>
      <w:r w:rsidR="0059289B" w:rsidRPr="002513B4">
        <w:t xml:space="preserve">should </w:t>
      </w:r>
      <w:r w:rsidRPr="002513B4">
        <w:t xml:space="preserve">develop a way to measure error rates of both their data receipt staff in terms of recognizing marginal notes and passing these on to someone for review and in terms of data entry or scanning verification. Vendors should work with their staff to minimize error rates. The </w:t>
      </w:r>
      <w:r w:rsidR="004A2ADC" w:rsidRPr="002513B4">
        <w:t xml:space="preserve">HHCAHPS Survey </w:t>
      </w:r>
      <w:r w:rsidRPr="002513B4">
        <w:t>Coordination Team will request information about data receipt and processing error rates during site visits to survey vendors.</w:t>
      </w:r>
    </w:p>
    <w:p w14:paraId="313B74AD" w14:textId="77777777" w:rsidR="007C0F9A" w:rsidRPr="002513B4" w:rsidRDefault="0059289B" w:rsidP="00E9671D">
      <w:pPr>
        <w:pStyle w:val="ListBullet"/>
      </w:pPr>
      <w:r w:rsidRPr="002513B4">
        <w:t>V</w:t>
      </w:r>
      <w:r w:rsidR="007C0F9A" w:rsidRPr="002513B4">
        <w:t>endors</w:t>
      </w:r>
      <w:r w:rsidRPr="002513B4">
        <w:t xml:space="preserve"> should</w:t>
      </w:r>
      <w:r w:rsidR="007C0F9A" w:rsidRPr="002513B4">
        <w:t xml:space="preserve"> calculate and review the response rates periodically for each of their client </w:t>
      </w:r>
      <w:r w:rsidR="00F74E6E" w:rsidRPr="002513B4">
        <w:t>HHAs</w:t>
      </w:r>
      <w:r w:rsidR="007C0F9A" w:rsidRPr="002513B4">
        <w:t xml:space="preserve">. If a sample was selected for an </w:t>
      </w:r>
      <w:r w:rsidR="00F74E6E" w:rsidRPr="002513B4">
        <w:t>HHA</w:t>
      </w:r>
      <w:r w:rsidR="007C0F9A" w:rsidRPr="002513B4">
        <w:t xml:space="preserve"> but there is no response or a very low response rate, this could be an indicator that incoming mail was not processed, scanned/keyed data were not exported to the XML data file, or other problems occurred with the mail survey. In instances where the number of cases sampled was very small (e.g., 10 or fewer), it is possible that </w:t>
      </w:r>
      <w:r w:rsidR="00074EBD" w:rsidRPr="002513B4">
        <w:t>there were no completed or partially completed survey returned</w:t>
      </w:r>
      <w:r w:rsidR="007C0F9A" w:rsidRPr="002513B4">
        <w:t xml:space="preserve">. For </w:t>
      </w:r>
      <w:r w:rsidR="00F74E6E" w:rsidRPr="002513B4">
        <w:t>HHAs</w:t>
      </w:r>
      <w:r w:rsidR="007C0F9A" w:rsidRPr="002513B4">
        <w:t xml:space="preserve"> with larger sample sizes, no response from any of the sample members could be indicative of a data collection or data processing problem.</w:t>
      </w:r>
    </w:p>
    <w:p w14:paraId="50F7DB40" w14:textId="3CAB1356" w:rsidR="00EE74F9" w:rsidRPr="002513B4" w:rsidRDefault="009D79E3" w:rsidP="00EE74F9">
      <w:pPr>
        <w:pStyle w:val="Heading4"/>
        <w:rPr>
          <w:lang w:val="en-US"/>
        </w:rPr>
      </w:pPr>
      <w:r w:rsidRPr="002513B4">
        <w:rPr>
          <w:lang w:val="en-US"/>
        </w:rPr>
        <w:t>9.8.2</w:t>
      </w:r>
      <w:r w:rsidR="006E55FF" w:rsidRPr="002513B4">
        <w:rPr>
          <w:lang w:val="en-US"/>
        </w:rPr>
        <w:tab/>
      </w:r>
      <w:r w:rsidR="00EE74F9" w:rsidRPr="002513B4">
        <w:rPr>
          <w:lang w:val="en-US"/>
        </w:rPr>
        <w:t>Quality Control for Telephone Survey Data Processing Activities</w:t>
      </w:r>
    </w:p>
    <w:p w14:paraId="4FA30E40" w14:textId="1EF5712E" w:rsidR="00EE74F9" w:rsidRPr="002513B4" w:rsidRDefault="00EE74F9" w:rsidP="00EE74F9">
      <w:pPr>
        <w:pStyle w:val="ListBullet"/>
      </w:pPr>
      <w:r w:rsidRPr="002513B4">
        <w:t xml:space="preserve">Vendors should conduct periodic reviews of </w:t>
      </w:r>
      <w:r w:rsidR="00CC0DE1" w:rsidRPr="002513B4">
        <w:t xml:space="preserve">their XML data files by comparing </w:t>
      </w:r>
      <w:r w:rsidRPr="002513B4">
        <w:t>at least 50 completed telephone interview response</w:t>
      </w:r>
      <w:r w:rsidR="00CC0DE1" w:rsidRPr="002513B4">
        <w:t>s directly from their CATI system to</w:t>
      </w:r>
      <w:r w:rsidRPr="002513B4">
        <w:t xml:space="preserve"> the </w:t>
      </w:r>
      <w:r w:rsidR="00CC0DE1" w:rsidRPr="002513B4">
        <w:t>values output</w:t>
      </w:r>
      <w:r w:rsidRPr="002513B4">
        <w:t xml:space="preserve"> in the XML data files. Doing this review will ensure that the responses are being accurately captured and output to the </w:t>
      </w:r>
      <w:r w:rsidR="00D818AA" w:rsidRPr="002513B4">
        <w:t>XML data file</w:t>
      </w:r>
      <w:r w:rsidRPr="002513B4">
        <w:t>.</w:t>
      </w:r>
    </w:p>
    <w:p w14:paraId="3D668B96" w14:textId="77777777" w:rsidR="00EE74F9" w:rsidRPr="002513B4" w:rsidRDefault="00EE74F9" w:rsidP="00EE74F9">
      <w:pPr>
        <w:pStyle w:val="ListBullet"/>
      </w:pPr>
      <w:r w:rsidRPr="002513B4">
        <w:t>Vendors should generate and review frequencies of cases at the various interim and final disposition codes for each HHA and perhaps by telephone interviewer. A higher-than-average percentage of cases coded as “Physically or Mentally Incapable, No proxy respondent available” could indicate that interviewers are not attempting to identify and conduct the interview with a proxy respondent. Similarly, a high percentage of cases coded as “not available” after maximum attempts could indicate that call attempts are not being scheduled appropriately.</w:t>
      </w:r>
    </w:p>
    <w:p w14:paraId="2205C745" w14:textId="77777777" w:rsidR="00CC0DE1" w:rsidRPr="002513B4" w:rsidRDefault="0059289B" w:rsidP="00E9671D">
      <w:pPr>
        <w:pStyle w:val="ListBullet"/>
      </w:pPr>
      <w:r w:rsidRPr="002513B4">
        <w:t>V</w:t>
      </w:r>
      <w:r w:rsidR="00CC0DE1" w:rsidRPr="002513B4">
        <w:t>endors</w:t>
      </w:r>
      <w:r w:rsidRPr="002513B4">
        <w:t xml:space="preserve"> should</w:t>
      </w:r>
      <w:r w:rsidR="00CC0DE1" w:rsidRPr="002513B4">
        <w:t xml:space="preserve"> calculate and review the response rates on a periodic basis for each of their client </w:t>
      </w:r>
      <w:r w:rsidR="00F74E6E" w:rsidRPr="002513B4">
        <w:t>HHAs</w:t>
      </w:r>
      <w:r w:rsidR="00CC0DE1" w:rsidRPr="002513B4">
        <w:t xml:space="preserve">. If a sample was selected for an </w:t>
      </w:r>
      <w:r w:rsidR="00F74E6E" w:rsidRPr="002513B4">
        <w:t>HHA</w:t>
      </w:r>
      <w:r w:rsidR="00CC0DE1" w:rsidRPr="002513B4">
        <w:t xml:space="preserve"> but there is no response or a very low response rate, this could be an indication of a data collection or data processing problem. In cases where the number of cases sampled was very small (e.g., 10 or fewer), it is possible all sample members decided not to participate in the survey. For </w:t>
      </w:r>
      <w:r w:rsidR="00F74E6E" w:rsidRPr="002513B4">
        <w:t>HHAs</w:t>
      </w:r>
      <w:r w:rsidR="00CC0DE1" w:rsidRPr="002513B4">
        <w:t xml:space="preserve"> with larger sample sizes, it is highly unlikely that 100% of the sample cases will refuse to participate in the survey.</w:t>
      </w:r>
    </w:p>
    <w:p w14:paraId="52BA6A5F" w14:textId="76BFC7BB" w:rsidR="00EE74F9" w:rsidRPr="002513B4" w:rsidRDefault="009D79E3" w:rsidP="00EE74F9">
      <w:pPr>
        <w:pStyle w:val="Heading4"/>
        <w:rPr>
          <w:lang w:val="en-US"/>
        </w:rPr>
      </w:pPr>
      <w:r w:rsidRPr="002513B4">
        <w:rPr>
          <w:lang w:val="en-US"/>
        </w:rPr>
        <w:lastRenderedPageBreak/>
        <w:t>9.8.3</w:t>
      </w:r>
      <w:r w:rsidR="00634CA6">
        <w:rPr>
          <w:lang w:val="en-US"/>
        </w:rPr>
        <w:tab/>
      </w:r>
      <w:r w:rsidR="00EE74F9" w:rsidRPr="002513B4">
        <w:rPr>
          <w:lang w:val="en-US"/>
        </w:rPr>
        <w:t>Quality Control on XML</w:t>
      </w:r>
      <w:r w:rsidR="00D818AA" w:rsidRPr="002513B4">
        <w:rPr>
          <w:lang w:val="en-US"/>
        </w:rPr>
        <w:t xml:space="preserve"> Data</w:t>
      </w:r>
      <w:r w:rsidR="00EE74F9" w:rsidRPr="002513B4">
        <w:rPr>
          <w:lang w:val="en-US"/>
        </w:rPr>
        <w:t xml:space="preserve"> Files</w:t>
      </w:r>
    </w:p>
    <w:p w14:paraId="548FA337" w14:textId="5EE83C44" w:rsidR="00F74E6E" w:rsidRPr="002513B4" w:rsidRDefault="00F74E6E" w:rsidP="00F74E6E">
      <w:pPr>
        <w:pStyle w:val="ListBullet"/>
      </w:pPr>
      <w:r w:rsidRPr="002513B4">
        <w:t xml:space="preserve">Vendors should use the XML </w:t>
      </w:r>
      <w:r w:rsidR="00A767A4" w:rsidRPr="002513B4">
        <w:t>S</w:t>
      </w:r>
      <w:r w:rsidRPr="002513B4">
        <w:t xml:space="preserve">chema </w:t>
      </w:r>
      <w:r w:rsidR="00A767A4" w:rsidRPr="002513B4">
        <w:t>V</w:t>
      </w:r>
      <w:r w:rsidRPr="002513B4">
        <w:t xml:space="preserve">alidation </w:t>
      </w:r>
      <w:r w:rsidR="00A767A4" w:rsidRPr="002513B4">
        <w:t>T</w:t>
      </w:r>
      <w:r w:rsidRPr="002513B4">
        <w:t xml:space="preserve">ool to conduct an initial quality control of their </w:t>
      </w:r>
      <w:r w:rsidR="00D818AA" w:rsidRPr="002513B4">
        <w:t>XML data file</w:t>
      </w:r>
      <w:r w:rsidRPr="002513B4">
        <w:t xml:space="preserve"> formatting. The XML Schema Validation Tool is available on the HHCAHPS website through a link in the “Data Submission” menu after logging in.</w:t>
      </w:r>
    </w:p>
    <w:p w14:paraId="2575539E" w14:textId="77777777" w:rsidR="00EE74F9" w:rsidRPr="002513B4" w:rsidRDefault="00F74E6E" w:rsidP="00DD0A9C">
      <w:pPr>
        <w:pStyle w:val="ListBullet"/>
        <w:spacing w:after="120"/>
      </w:pPr>
      <w:r w:rsidRPr="002513B4">
        <w:t>V</w:t>
      </w:r>
      <w:r w:rsidR="00EE74F9" w:rsidRPr="002513B4">
        <w:t>endors</w:t>
      </w:r>
      <w:r w:rsidRPr="002513B4">
        <w:t xml:space="preserve"> should</w:t>
      </w:r>
      <w:r w:rsidR="00EE74F9" w:rsidRPr="002513B4">
        <w:t xml:space="preserve"> run frequencies of distributions on both the patient administrative data and the patient response data to look for outliers or anomalies, including missing values. By reviewing frequencies, vendors may be able to identify problems in the data they receive from HHAs, their own data file processing, or their XML coding operations.</w:t>
      </w:r>
    </w:p>
    <w:p w14:paraId="211597B0" w14:textId="77777777" w:rsidR="00EE74F9" w:rsidRPr="002513B4" w:rsidRDefault="00EE74F9" w:rsidP="00A62DD9">
      <w:pPr>
        <w:pStyle w:val="ListBullet2"/>
      </w:pPr>
      <w:r w:rsidRPr="002513B4">
        <w:t>Examples of frequencies that vendors could run include</w:t>
      </w:r>
    </w:p>
    <w:p w14:paraId="5468F2C2" w14:textId="77777777" w:rsidR="00EE74F9" w:rsidRPr="002513B4" w:rsidRDefault="00EE74F9" w:rsidP="00CE0AB1">
      <w:pPr>
        <w:pStyle w:val="ListBullet3"/>
        <w:tabs>
          <w:tab w:val="clear" w:pos="1080"/>
          <w:tab w:val="center" w:pos="1800"/>
        </w:tabs>
        <w:ind w:left="1440"/>
      </w:pPr>
      <w:r w:rsidRPr="002513B4">
        <w:t>race (are all respondents coded as Alaska Native, for example);</w:t>
      </w:r>
      <w:r w:rsidR="00F74E6E" w:rsidRPr="002513B4">
        <w:t xml:space="preserve"> and</w:t>
      </w:r>
    </w:p>
    <w:p w14:paraId="5935E2AD" w14:textId="77777777" w:rsidR="00EE74F9" w:rsidRPr="002513B4" w:rsidRDefault="00EE74F9" w:rsidP="00CE0AB1">
      <w:pPr>
        <w:pStyle w:val="ListBullet3"/>
        <w:tabs>
          <w:tab w:val="center" w:pos="1800"/>
        </w:tabs>
        <w:spacing w:after="120"/>
        <w:ind w:left="1440"/>
      </w:pPr>
      <w:r w:rsidRPr="002513B4">
        <w:t>age (is there a reasonable distribution of age categories across sample members, or do the ages lean heavily toward the very young or very old?).</w:t>
      </w:r>
    </w:p>
    <w:p w14:paraId="0345FDC3" w14:textId="77777777" w:rsidR="00EE74F9" w:rsidRPr="002513B4" w:rsidRDefault="00EE74F9" w:rsidP="00EE74F9">
      <w:pPr>
        <w:pStyle w:val="ListBullet"/>
      </w:pPr>
      <w:r w:rsidRPr="002513B4">
        <w:t xml:space="preserve">Vendors should periodically check their data processing programs to confirm that data elements on the </w:t>
      </w:r>
      <w:r w:rsidR="00D818AA" w:rsidRPr="002513B4">
        <w:t>XML data file</w:t>
      </w:r>
      <w:r w:rsidRPr="002513B4">
        <w:t xml:space="preserve">s are coded properly on the </w:t>
      </w:r>
      <w:r w:rsidR="00D818AA" w:rsidRPr="002513B4">
        <w:t>XML data file</w:t>
      </w:r>
      <w:r w:rsidRPr="002513B4">
        <w:t>, including Activities of Daily Living (ADL) values. For example, codes of “0” on each of the ADL deficit data elements reflect an individual who has no deficits—unusual for an individual receiving home health care. If they see zeroes on the data files they receive from either HHAs or their software vendors, vendors must ensure that the HHAs and software vendors understand the difference between the use of “0” to designate an individual with no deficits and “M” for ADL deficit information that is completely missing.</w:t>
      </w:r>
    </w:p>
    <w:p w14:paraId="2F24DF6F" w14:textId="77777777" w:rsidR="00EE74F9" w:rsidRPr="002513B4" w:rsidRDefault="00EE74F9" w:rsidP="00DD0A9C">
      <w:pPr>
        <w:pStyle w:val="ListBullet"/>
        <w:spacing w:after="120"/>
      </w:pPr>
      <w:r w:rsidRPr="002513B4">
        <w:t xml:space="preserve">Vendors </w:t>
      </w:r>
      <w:r w:rsidR="002C2219" w:rsidRPr="002513B4">
        <w:t xml:space="preserve">should </w:t>
      </w:r>
      <w:r w:rsidRPr="002513B4">
        <w:t xml:space="preserve">make sure that a code is entered on the </w:t>
      </w:r>
      <w:r w:rsidR="00D818AA" w:rsidRPr="002513B4">
        <w:t>XML data file</w:t>
      </w:r>
      <w:r w:rsidRPr="002513B4">
        <w:t xml:space="preserve"> to indicate whether a proxy respondent was used, for all completed mail and telephone survey cases.</w:t>
      </w:r>
    </w:p>
    <w:p w14:paraId="349C64A4" w14:textId="015DAAE2" w:rsidR="00EE74F9" w:rsidRPr="002513B4" w:rsidRDefault="00EE74F9" w:rsidP="00A62DD9">
      <w:pPr>
        <w:pStyle w:val="ListBullet2"/>
      </w:pPr>
      <w:r w:rsidRPr="002513B4">
        <w:t xml:space="preserve">For surveys completed by mail, the “Yes” code </w:t>
      </w:r>
      <w:r w:rsidR="002C2219" w:rsidRPr="002513B4">
        <w:t xml:space="preserve">(“1”) </w:t>
      </w:r>
      <w:r w:rsidRPr="002513B4">
        <w:t xml:space="preserve">on the </w:t>
      </w:r>
      <w:r w:rsidR="00D818AA" w:rsidRPr="002513B4">
        <w:t>XML data file</w:t>
      </w:r>
      <w:r w:rsidRPr="002513B4">
        <w:t xml:space="preserve"> for the </w:t>
      </w:r>
      <w:r w:rsidR="002C2219" w:rsidRPr="002513B4">
        <w:t>p</w:t>
      </w:r>
      <w:r w:rsidRPr="002513B4">
        <w:t>roxy indicator should be marked if the answer to Q</w:t>
      </w:r>
      <w:r w:rsidR="00A767A4" w:rsidRPr="002513B4">
        <w:t>25</w:t>
      </w:r>
      <w:r w:rsidRPr="002513B4">
        <w:t xml:space="preserve"> in the completed mail survey is “Answered the questions for me.” The only time the “M” code for the proxy respondent indicator is acceptable on the </w:t>
      </w:r>
      <w:r w:rsidR="00D818AA" w:rsidRPr="002513B4">
        <w:t>XML data file</w:t>
      </w:r>
      <w:r w:rsidRPr="002513B4">
        <w:t xml:space="preserve"> is when a respondent to the mail survey did not answer Q</w:t>
      </w:r>
      <w:r w:rsidR="00A767A4" w:rsidRPr="002513B4">
        <w:t>24</w:t>
      </w:r>
      <w:r w:rsidRPr="002513B4">
        <w:t xml:space="preserve"> or Q</w:t>
      </w:r>
      <w:r w:rsidR="00A767A4" w:rsidRPr="002513B4">
        <w:t>25</w:t>
      </w:r>
      <w:r w:rsidRPr="002513B4">
        <w:t>.</w:t>
      </w:r>
    </w:p>
    <w:p w14:paraId="6ECDC4B6" w14:textId="77777777" w:rsidR="00EE74F9" w:rsidRPr="002513B4" w:rsidRDefault="00EE74F9" w:rsidP="00A62DD9">
      <w:pPr>
        <w:pStyle w:val="ListBullet2"/>
      </w:pPr>
      <w:r w:rsidRPr="002513B4">
        <w:t xml:space="preserve">For surveys completed by telephone, mark the </w:t>
      </w:r>
      <w:r w:rsidR="002C2219" w:rsidRPr="002513B4">
        <w:t>“</w:t>
      </w:r>
      <w:r w:rsidRPr="002513B4">
        <w:t>Yes</w:t>
      </w:r>
      <w:r w:rsidR="002C2219" w:rsidRPr="002513B4">
        <w:t>”</w:t>
      </w:r>
      <w:r w:rsidRPr="002513B4">
        <w:t xml:space="preserve"> indicator </w:t>
      </w:r>
      <w:r w:rsidR="002C2219" w:rsidRPr="002513B4">
        <w:t xml:space="preserve">(code as “1”) </w:t>
      </w:r>
      <w:r w:rsidRPr="002513B4">
        <w:t xml:space="preserve">on the </w:t>
      </w:r>
      <w:r w:rsidR="00D818AA" w:rsidRPr="002513B4">
        <w:t>XML data file</w:t>
      </w:r>
      <w:r w:rsidRPr="002513B4">
        <w:t xml:space="preserve"> if the interview was conducted with a proxy respondent.</w:t>
      </w:r>
    </w:p>
    <w:p w14:paraId="670071DA" w14:textId="72A611B0" w:rsidR="00EE74F9" w:rsidRPr="002513B4" w:rsidRDefault="00EE74F9" w:rsidP="00EE74F9">
      <w:pPr>
        <w:pStyle w:val="ListBullet"/>
      </w:pPr>
      <w:r w:rsidRPr="002513B4">
        <w:t xml:space="preserve">Vendors are responsible for running the completeness criteria on all completed surveys to ensure that they meet the completeness criteria described in </w:t>
      </w:r>
      <w:r w:rsidRPr="002513B4">
        <w:rPr>
          <w:bCs/>
          <w:iCs/>
        </w:rPr>
        <w:t>this chapter</w:t>
      </w:r>
      <w:r w:rsidRPr="002513B4">
        <w:t>. Vendors should assign either a completed interview or a breakoff code based on whether the survey passes the completeness criteria.</w:t>
      </w:r>
    </w:p>
    <w:p w14:paraId="171C9C3A" w14:textId="77777777" w:rsidR="00EE74F9" w:rsidRPr="002513B4" w:rsidRDefault="00EE74F9" w:rsidP="00EE74F9">
      <w:pPr>
        <w:pStyle w:val="ListBullet"/>
      </w:pPr>
      <w:r w:rsidRPr="002513B4">
        <w:lastRenderedPageBreak/>
        <w:t xml:space="preserve">Vendors should conduct a final check of the disposition codes assigned to all sampled cases before submitting </w:t>
      </w:r>
      <w:r w:rsidR="00D818AA" w:rsidRPr="002513B4">
        <w:t>XML data file</w:t>
      </w:r>
      <w:r w:rsidRPr="002513B4">
        <w:t xml:space="preserve">s to the HHCAHPS </w:t>
      </w:r>
      <w:r w:rsidR="002C2219" w:rsidRPr="002513B4">
        <w:t xml:space="preserve">Survey </w:t>
      </w:r>
      <w:r w:rsidRPr="002513B4">
        <w:t xml:space="preserve">Data Center. If the vendor identifies a case assigned either an ineligible or non-interview final disposition code AND there are data included in the Patient Response Record </w:t>
      </w:r>
      <w:r w:rsidR="002C2219" w:rsidRPr="002513B4">
        <w:t>s</w:t>
      </w:r>
      <w:r w:rsidRPr="002513B4">
        <w:t xml:space="preserve">ection of the </w:t>
      </w:r>
      <w:r w:rsidR="00D818AA" w:rsidRPr="002513B4">
        <w:t>XML data file</w:t>
      </w:r>
      <w:r w:rsidRPr="002513B4">
        <w:t>, the vendor should determine why code 110</w:t>
      </w:r>
      <w:r w:rsidR="002C2219" w:rsidRPr="002513B4">
        <w:t>—Completed Mail Survey</w:t>
      </w:r>
      <w:r w:rsidRPr="002513B4">
        <w:t xml:space="preserve"> or 120</w:t>
      </w:r>
      <w:r w:rsidR="002C2219" w:rsidRPr="002513B4">
        <w:t>—Completed Phone Interview</w:t>
      </w:r>
      <w:r w:rsidRPr="002513B4">
        <w:t xml:space="preserve"> was not assigned to the case. If it is determined that the case is indeed ineligible or was a non-interview, remove the survey response data from the </w:t>
      </w:r>
      <w:r w:rsidR="00D818AA" w:rsidRPr="002513B4">
        <w:t>XML data file</w:t>
      </w:r>
      <w:r w:rsidRPr="002513B4">
        <w:t>.</w:t>
      </w:r>
      <w:bookmarkEnd w:id="311"/>
      <w:bookmarkEnd w:id="312"/>
    </w:p>
    <w:p w14:paraId="3FA2235A" w14:textId="77777777" w:rsidR="002C2219" w:rsidRPr="002513B4" w:rsidRDefault="002C2219" w:rsidP="00EE74F9">
      <w:pPr>
        <w:pStyle w:val="ListBullet"/>
      </w:pPr>
      <w:r w:rsidRPr="002513B4">
        <w:t xml:space="preserve">Vendors should select a random sample of cases on the </w:t>
      </w:r>
      <w:r w:rsidR="00D818AA" w:rsidRPr="002513B4">
        <w:t>XML data file</w:t>
      </w:r>
      <w:r w:rsidRPr="002513B4">
        <w:t xml:space="preserve"> and compare the variables in the Patient Administrative Data Record against the patient information that was provided by the </w:t>
      </w:r>
      <w:r w:rsidR="00EB45A7" w:rsidRPr="002513B4">
        <w:t>HHA</w:t>
      </w:r>
      <w:r w:rsidRPr="002513B4">
        <w:t xml:space="preserve"> on the original monthly patient information file to make sure the information was exported to the </w:t>
      </w:r>
      <w:r w:rsidR="00D818AA" w:rsidRPr="002513B4">
        <w:t>XML data file</w:t>
      </w:r>
      <w:r w:rsidRPr="002513B4">
        <w:t xml:space="preserve"> correctly.</w:t>
      </w:r>
    </w:p>
    <w:p w14:paraId="4A331C12" w14:textId="77777777" w:rsidR="00EE74F9" w:rsidRPr="002513B4" w:rsidRDefault="00EE74F9" w:rsidP="00EE74F9">
      <w:pPr>
        <w:pStyle w:val="BodyText"/>
        <w:rPr>
          <w:lang w:val="en-US"/>
        </w:rPr>
      </w:pPr>
    </w:p>
    <w:p w14:paraId="25C8B95B" w14:textId="77777777" w:rsidR="00EE74F9" w:rsidRPr="002513B4" w:rsidRDefault="00EE74F9" w:rsidP="00EE74F9">
      <w:pPr>
        <w:sectPr w:rsidR="00EE74F9" w:rsidRPr="002513B4" w:rsidSect="00355892">
          <w:headerReference w:type="even" r:id="rId118"/>
          <w:headerReference w:type="default" r:id="rId119"/>
          <w:footerReference w:type="even" r:id="rId120"/>
          <w:footerReference w:type="default" r:id="rId121"/>
          <w:headerReference w:type="first" r:id="rId122"/>
          <w:footerReference w:type="first" r:id="rId123"/>
          <w:type w:val="continuous"/>
          <w:pgSz w:w="12240" w:h="15840" w:code="1"/>
          <w:pgMar w:top="1440" w:right="1440" w:bottom="1440" w:left="1440" w:header="720" w:footer="720" w:gutter="0"/>
          <w:cols w:space="720"/>
          <w:titlePg/>
        </w:sectPr>
      </w:pPr>
    </w:p>
    <w:p w14:paraId="207B913B" w14:textId="2BC492E6" w:rsidR="00EE74F9" w:rsidRPr="002513B4" w:rsidRDefault="009F27F5" w:rsidP="00EE74F9">
      <w:pPr>
        <w:pStyle w:val="Heading2"/>
        <w:rPr>
          <w:lang w:val="en-US"/>
        </w:rPr>
      </w:pPr>
      <w:bookmarkStart w:id="330" w:name="_Toc224984451"/>
      <w:bookmarkStart w:id="331" w:name="_Toc343765447"/>
      <w:bookmarkStart w:id="332" w:name="_Toc402776519"/>
      <w:bookmarkStart w:id="333" w:name="_Toc217305614"/>
      <w:r w:rsidRPr="002513B4">
        <w:rPr>
          <w:lang w:val="en-US"/>
        </w:rPr>
        <w:lastRenderedPageBreak/>
        <w:t>Chapter</w:t>
      </w:r>
      <w:r w:rsidR="009D79E3" w:rsidRPr="002513B4">
        <w:rPr>
          <w:lang w:val="en-US"/>
        </w:rPr>
        <w:t xml:space="preserve"> 10:</w:t>
      </w:r>
      <w:r w:rsidR="00EE74F9" w:rsidRPr="002513B4">
        <w:rPr>
          <w:lang w:val="en-US"/>
        </w:rPr>
        <w:t xml:space="preserve"> Website and File Submission</w:t>
      </w:r>
      <w:bookmarkEnd w:id="330"/>
      <w:bookmarkEnd w:id="331"/>
      <w:bookmarkEnd w:id="332"/>
      <w:r w:rsidR="00EE74F9" w:rsidRPr="002513B4">
        <w:rPr>
          <w:lang w:val="en-US"/>
        </w:rPr>
        <w:t>s</w:t>
      </w:r>
      <w:bookmarkEnd w:id="333"/>
    </w:p>
    <w:p w14:paraId="3F7F4E9D" w14:textId="3E969E4F" w:rsidR="00EE74F9" w:rsidRPr="002513B4" w:rsidRDefault="00A50434" w:rsidP="00EE74F9">
      <w:pPr>
        <w:pStyle w:val="Heading3"/>
        <w:rPr>
          <w:szCs w:val="24"/>
          <w:lang w:val="en-US"/>
        </w:rPr>
      </w:pPr>
      <w:bookmarkStart w:id="334" w:name="_Toc251318181"/>
      <w:bookmarkStart w:id="335" w:name="_Toc407633108"/>
      <w:bookmarkStart w:id="336" w:name="_Toc24713385"/>
      <w:bookmarkStart w:id="337" w:name="_Toc217305615"/>
      <w:r w:rsidRPr="002513B4">
        <w:rPr>
          <w:lang w:val="en-US"/>
        </w:rPr>
        <w:t>10.1</w:t>
      </w:r>
      <w:r w:rsidRPr="002513B4">
        <w:rPr>
          <w:lang w:val="en-US"/>
        </w:rPr>
        <w:tab/>
      </w:r>
      <w:r w:rsidR="00EE74F9" w:rsidRPr="002513B4">
        <w:rPr>
          <w:lang w:val="en-US"/>
        </w:rPr>
        <w:t>Overview</w:t>
      </w:r>
      <w:bookmarkEnd w:id="334"/>
      <w:bookmarkEnd w:id="335"/>
      <w:bookmarkEnd w:id="336"/>
      <w:bookmarkEnd w:id="337"/>
    </w:p>
    <w:p w14:paraId="11F7B022" w14:textId="77777777" w:rsidR="00EE74F9" w:rsidRPr="002513B4" w:rsidRDefault="00EE74F9" w:rsidP="00EE74F9">
      <w:pPr>
        <w:pStyle w:val="BodyText"/>
        <w:rPr>
          <w:lang w:val="en-US"/>
        </w:rPr>
      </w:pPr>
      <w:r w:rsidRPr="002513B4">
        <w:rPr>
          <w:lang w:val="en-US"/>
        </w:rPr>
        <w:t>This chapter introduces the HHCAHPS Survey website and discusses how HHAs and survey vendors access and use the private links on the website. It also covers the HHCAHPS Survey XML data file specifications and the steps involved in the XML data submission process.</w:t>
      </w:r>
    </w:p>
    <w:p w14:paraId="662CCCAF" w14:textId="0ACA5F6D" w:rsidR="00EE74F9" w:rsidRPr="002513B4" w:rsidRDefault="00A50434" w:rsidP="00EE74F9">
      <w:pPr>
        <w:pStyle w:val="Heading3"/>
        <w:rPr>
          <w:lang w:val="en-US"/>
        </w:rPr>
      </w:pPr>
      <w:bookmarkStart w:id="338" w:name="_Toc229286042"/>
      <w:bookmarkStart w:id="339" w:name="_Toc251318182"/>
      <w:bookmarkStart w:id="340" w:name="_Toc407633109"/>
      <w:bookmarkStart w:id="341" w:name="_Toc24713386"/>
      <w:bookmarkStart w:id="342" w:name="_Toc217305616"/>
      <w:r w:rsidRPr="002513B4">
        <w:rPr>
          <w:lang w:val="en-US"/>
        </w:rPr>
        <w:t>10.2</w:t>
      </w:r>
      <w:r w:rsidRPr="002513B4">
        <w:rPr>
          <w:lang w:val="en-US"/>
        </w:rPr>
        <w:tab/>
      </w:r>
      <w:r w:rsidR="00EE74F9" w:rsidRPr="002513B4">
        <w:rPr>
          <w:lang w:val="en-US"/>
        </w:rPr>
        <w:t>The HHCAHPS Survey Web</w:t>
      </w:r>
      <w:bookmarkEnd w:id="338"/>
      <w:bookmarkEnd w:id="339"/>
      <w:bookmarkEnd w:id="340"/>
      <w:r w:rsidR="00EE74F9" w:rsidRPr="002513B4">
        <w:rPr>
          <w:lang w:val="en-US"/>
        </w:rPr>
        <w:t>site</w:t>
      </w:r>
      <w:bookmarkEnd w:id="341"/>
      <w:bookmarkEnd w:id="342"/>
    </w:p>
    <w:p w14:paraId="5FB54896" w14:textId="723478BA" w:rsidR="00EE74F9" w:rsidRPr="002513B4" w:rsidRDefault="00EE74F9" w:rsidP="00EE74F9">
      <w:pPr>
        <w:pStyle w:val="BodyText"/>
        <w:rPr>
          <w:lang w:val="en-US"/>
        </w:rPr>
      </w:pPr>
      <w:r w:rsidRPr="002513B4">
        <w:rPr>
          <w:lang w:val="en-US"/>
        </w:rPr>
        <w:t xml:space="preserve">The </w:t>
      </w:r>
      <w:hyperlink r:id="rId124" w:history="1">
        <w:r w:rsidRPr="002513B4">
          <w:rPr>
            <w:rStyle w:val="Hyperlink"/>
            <w:lang w:val="en-US"/>
          </w:rPr>
          <w:t>HHCAHPS Survey website</w:t>
        </w:r>
      </w:hyperlink>
      <w:r w:rsidR="00FA6979" w:rsidRPr="002513B4">
        <w:rPr>
          <w:lang w:val="en-US"/>
        </w:rPr>
        <w:t> </w:t>
      </w:r>
      <w:r w:rsidR="00FA6979" w:rsidRPr="002513B4">
        <w:rPr>
          <w:noProof/>
          <w:lang w:val="en-US"/>
        </w:rPr>
        <w:drawing>
          <wp:inline distT="0" distB="0" distL="0" distR="0" wp14:anchorId="62086CAE" wp14:editId="783E4BD0">
            <wp:extent cx="95250" cy="95250"/>
            <wp:effectExtent l="0" t="0" r="0" b="0"/>
            <wp:docPr id="90854923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BA69AF" w:rsidRPr="002513B4">
        <w:rPr>
          <w:lang w:val="en-US"/>
        </w:rPr>
        <w:t xml:space="preserve"> </w:t>
      </w:r>
      <w:r w:rsidRPr="002513B4">
        <w:rPr>
          <w:lang w:val="en-US"/>
        </w:rPr>
        <w:t xml:space="preserve">is maintained by RTI International, which is assisting CMS with the </w:t>
      </w:r>
      <w:r w:rsidR="00681C2A" w:rsidRPr="002513B4">
        <w:rPr>
          <w:lang w:val="en-US"/>
        </w:rPr>
        <w:t xml:space="preserve">national </w:t>
      </w:r>
      <w:r w:rsidRPr="002513B4">
        <w:rPr>
          <w:lang w:val="en-US"/>
        </w:rPr>
        <w:t>implementation of the HHCAHPS Survey. The website is the primary portal for communicating and updating information about the HHCAHPS Survey to HHAs and survey vendors. The website has both public and private (restricted-access) sections to ensure the security and privacy of selected interactions. Medicare-certified HHAs participating in the HHCAHPS Survey access private links on the HHCAHPS website to authorize their contracted survey vendor to submit HHCAHPS Survey data on their behalf, review their data submission reports, and view their HHCAHPS Survey results before the results are publicly reported. Survey vendors access specific links on the private side of the website to manage their user accounts</w:t>
      </w:r>
      <w:r w:rsidR="00681C2A" w:rsidRPr="002513B4">
        <w:rPr>
          <w:lang w:val="en-US"/>
        </w:rPr>
        <w:t>,</w:t>
      </w:r>
      <w:r w:rsidRPr="002513B4">
        <w:rPr>
          <w:lang w:val="en-US"/>
        </w:rPr>
        <w:t xml:space="preserve"> submit HHCAHPS Survey data to the </w:t>
      </w:r>
      <w:r w:rsidR="00BA69AF" w:rsidRPr="002513B4">
        <w:rPr>
          <w:lang w:val="en-US"/>
        </w:rPr>
        <w:t xml:space="preserve">HHCAHPS </w:t>
      </w:r>
      <w:r w:rsidRPr="002513B4">
        <w:rPr>
          <w:lang w:val="en-US"/>
        </w:rPr>
        <w:t>Data Center</w:t>
      </w:r>
      <w:r w:rsidR="00681C2A" w:rsidRPr="002513B4">
        <w:rPr>
          <w:lang w:val="en-US"/>
        </w:rPr>
        <w:t xml:space="preserve"> and upload their QAP</w:t>
      </w:r>
      <w:r w:rsidRPr="002513B4">
        <w:rPr>
          <w:lang w:val="en-US"/>
        </w:rPr>
        <w:t>.</w:t>
      </w:r>
    </w:p>
    <w:p w14:paraId="48AE9BBA" w14:textId="77777777" w:rsidR="00EE74F9" w:rsidRPr="002513B4" w:rsidRDefault="00EE74F9" w:rsidP="00EE74F9">
      <w:pPr>
        <w:pStyle w:val="BodyText"/>
        <w:rPr>
          <w:lang w:val="en-US"/>
        </w:rPr>
      </w:pPr>
      <w:r w:rsidRPr="002513B4">
        <w:rPr>
          <w:lang w:val="en-US"/>
        </w:rPr>
        <w:t>On the public page, a link to a login allows authorized users (HHA and survey vendor</w:t>
      </w:r>
      <w:r w:rsidR="008A6A20" w:rsidRPr="002513B4">
        <w:rPr>
          <w:lang w:val="en-US"/>
        </w:rPr>
        <w:t xml:space="preserve"> user</w:t>
      </w:r>
      <w:r w:rsidRPr="002513B4">
        <w:rPr>
          <w:lang w:val="en-US"/>
        </w:rPr>
        <w:t xml:space="preserve">s) access to the private sections of the website, where they can carry out administrative functions. Access to the private side is controlled through website-issued user identification and passwords. The public sections of the website contain important survey information for HHAs and survey vendors. </w:t>
      </w:r>
      <w:r w:rsidRPr="002513B4">
        <w:rPr>
          <w:b/>
          <w:bCs/>
          <w:i/>
          <w:lang w:val="en-US"/>
        </w:rPr>
        <w:t>Exhibit 10.1</w:t>
      </w:r>
      <w:r w:rsidRPr="002513B4">
        <w:rPr>
          <w:lang w:val="en-US"/>
        </w:rPr>
        <w:t xml:space="preserve"> presents the main navigation </w:t>
      </w:r>
      <w:r w:rsidR="008A6A20" w:rsidRPr="002513B4">
        <w:rPr>
          <w:lang w:val="en-US"/>
        </w:rPr>
        <w:t>menu</w:t>
      </w:r>
      <w:r w:rsidRPr="002513B4">
        <w:rPr>
          <w:lang w:val="en-US"/>
        </w:rPr>
        <w:t xml:space="preserve"> that allow users to access different informational areas on the website.</w:t>
      </w:r>
    </w:p>
    <w:p w14:paraId="6D99045C" w14:textId="1C8F9AE2" w:rsidR="00EE74F9" w:rsidRPr="002513B4" w:rsidRDefault="00EE74F9" w:rsidP="00EE74F9">
      <w:pPr>
        <w:pStyle w:val="ExhibitCaption"/>
        <w:rPr>
          <w:sz w:val="18"/>
          <w:szCs w:val="18"/>
        </w:rPr>
      </w:pPr>
      <w:bookmarkStart w:id="343" w:name="_Toc24713417"/>
      <w:bookmarkStart w:id="344" w:name="_Toc217024899"/>
      <w:r w:rsidRPr="002513B4">
        <w:rPr>
          <w:sz w:val="18"/>
          <w:szCs w:val="18"/>
        </w:rPr>
        <w:t>Exhibit 10.1</w:t>
      </w:r>
      <w:r w:rsidR="007A68CD" w:rsidRPr="002513B4">
        <w:rPr>
          <w:sz w:val="18"/>
          <w:szCs w:val="18"/>
        </w:rPr>
        <w:t xml:space="preserve"> </w:t>
      </w:r>
      <w:r w:rsidRPr="002513B4">
        <w:rPr>
          <w:sz w:val="18"/>
          <w:szCs w:val="18"/>
        </w:rPr>
        <w:t xml:space="preserve">HHCAHPS Survey Website Navigation </w:t>
      </w:r>
      <w:bookmarkEnd w:id="343"/>
      <w:r w:rsidR="00BD61B9" w:rsidRPr="002513B4">
        <w:rPr>
          <w:sz w:val="18"/>
          <w:szCs w:val="18"/>
        </w:rPr>
        <w:t>Menu</w:t>
      </w:r>
      <w:bookmarkEnd w:id="344"/>
    </w:p>
    <w:p w14:paraId="22493CCD" w14:textId="77777777" w:rsidR="00EE74F9" w:rsidRPr="002513B4" w:rsidRDefault="008A529D" w:rsidP="00EE74F9">
      <w:pPr>
        <w:pStyle w:val="Graphic"/>
        <w:rPr>
          <w:rFonts w:eastAsia="Calibri"/>
        </w:rPr>
      </w:pPr>
      <w:r w:rsidRPr="002513B4">
        <w:rPr>
          <w:rFonts w:eastAsia="Calibri"/>
          <w:noProof/>
        </w:rPr>
        <w:drawing>
          <wp:inline distT="0" distB="0" distL="0" distR="0" wp14:anchorId="2E50DC96" wp14:editId="3853BBA3">
            <wp:extent cx="5943600" cy="363220"/>
            <wp:effectExtent l="0" t="0" r="0" b="0"/>
            <wp:docPr id="6" name="Picture 6" descr="Exhibit 10.1 shows the HHCAHPS Survey website navigation menu, including the Home, General Information, Training, Forms for Vendors, Survey and Protocols, Data Submission, and For HHAs me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hibit 10.1 shows the HHCAHPS Survey website navigation menu, including the Home, General Information, Training, Forms for Vendors, Survey and Protocols, Data Submission, and For HHAs menus"/>
                    <pic:cNvPicPr/>
                  </pic:nvPicPr>
                  <pic:blipFill>
                    <a:blip r:embed="rId125"/>
                    <a:stretch>
                      <a:fillRect/>
                    </a:stretch>
                  </pic:blipFill>
                  <pic:spPr>
                    <a:xfrm>
                      <a:off x="0" y="0"/>
                      <a:ext cx="5943600" cy="363220"/>
                    </a:xfrm>
                    <a:prstGeom prst="rect">
                      <a:avLst/>
                    </a:prstGeom>
                  </pic:spPr>
                </pic:pic>
              </a:graphicData>
            </a:graphic>
          </wp:inline>
        </w:drawing>
      </w:r>
    </w:p>
    <w:p w14:paraId="6EAE5638" w14:textId="77777777" w:rsidR="00EE74F9" w:rsidRPr="002513B4" w:rsidRDefault="00EE74F9" w:rsidP="00EE74F9">
      <w:pPr>
        <w:pStyle w:val="Source"/>
        <w:rPr>
          <w:lang w:val="en-US"/>
        </w:rPr>
      </w:pPr>
    </w:p>
    <w:p w14:paraId="312E82B4" w14:textId="77777777" w:rsidR="00EE74F9" w:rsidRPr="002513B4" w:rsidRDefault="00EE74F9" w:rsidP="00EE74F9">
      <w:pPr>
        <w:pStyle w:val="BodyText"/>
        <w:rPr>
          <w:lang w:val="en-US"/>
        </w:rPr>
      </w:pPr>
      <w:r w:rsidRPr="002513B4">
        <w:rPr>
          <w:lang w:val="en-US"/>
        </w:rPr>
        <w:t xml:space="preserve">Each link below the dark navigation </w:t>
      </w:r>
      <w:r w:rsidR="00884F98" w:rsidRPr="002513B4">
        <w:rPr>
          <w:lang w:val="en-US"/>
        </w:rPr>
        <w:t>menus</w:t>
      </w:r>
      <w:r w:rsidR="00EB45A7" w:rsidRPr="002513B4">
        <w:rPr>
          <w:lang w:val="en-US"/>
        </w:rPr>
        <w:t xml:space="preserve"> </w:t>
      </w:r>
      <w:r w:rsidRPr="002513B4">
        <w:rPr>
          <w:lang w:val="en-US"/>
        </w:rPr>
        <w:t xml:space="preserve">provides direct access to a form or file that may be of use to HHAs or vendors. A brief description of the content available on the </w:t>
      </w:r>
      <w:r w:rsidR="008A6A20" w:rsidRPr="002513B4">
        <w:rPr>
          <w:lang w:val="en-US"/>
        </w:rPr>
        <w:t>H</w:t>
      </w:r>
      <w:r w:rsidRPr="002513B4">
        <w:rPr>
          <w:lang w:val="en-US"/>
        </w:rPr>
        <w:t xml:space="preserve">ome page, including information accessed via the website navigation </w:t>
      </w:r>
      <w:r w:rsidR="00BD61B9" w:rsidRPr="002513B4">
        <w:rPr>
          <w:lang w:val="en-US"/>
        </w:rPr>
        <w:t>menu</w:t>
      </w:r>
      <w:r w:rsidRPr="002513B4">
        <w:rPr>
          <w:lang w:val="en-US"/>
        </w:rPr>
        <w:t>, is presented below.</w:t>
      </w:r>
    </w:p>
    <w:p w14:paraId="6058FDA5" w14:textId="58AA3813" w:rsidR="00EE74F9" w:rsidRPr="002513B4" w:rsidRDefault="00EE74F9" w:rsidP="00EE74F9">
      <w:pPr>
        <w:pStyle w:val="ListBullet"/>
      </w:pPr>
      <w:r w:rsidRPr="002513B4">
        <w:lastRenderedPageBreak/>
        <w:t xml:space="preserve">The links under the </w:t>
      </w:r>
      <w:r w:rsidRPr="002513B4">
        <w:rPr>
          <w:i/>
          <w:iCs/>
        </w:rPr>
        <w:t>General Information</w:t>
      </w:r>
      <w:r w:rsidRPr="002513B4">
        <w:t xml:space="preserve"> </w:t>
      </w:r>
      <w:r w:rsidR="00884F98" w:rsidRPr="002513B4">
        <w:t xml:space="preserve">menu </w:t>
      </w:r>
      <w:r w:rsidRPr="002513B4">
        <w:t>provide HHAs and survey vendors with participation news and requirements and archived public reporting files.</w:t>
      </w:r>
    </w:p>
    <w:p w14:paraId="51077D01" w14:textId="7732D161" w:rsidR="00EE74F9" w:rsidRPr="002513B4" w:rsidRDefault="00EE74F9" w:rsidP="00EE74F9">
      <w:pPr>
        <w:pStyle w:val="ListBullet"/>
      </w:pPr>
      <w:r w:rsidRPr="002513B4">
        <w:t xml:space="preserve">HHCAHPS Survey training registration forms, agendas, and training slides are posted under the </w:t>
      </w:r>
      <w:r w:rsidRPr="002513B4">
        <w:rPr>
          <w:i/>
          <w:iCs/>
        </w:rPr>
        <w:t>Training</w:t>
      </w:r>
      <w:r w:rsidRPr="002513B4">
        <w:t xml:space="preserve"> </w:t>
      </w:r>
      <w:r w:rsidR="00884F98" w:rsidRPr="002513B4">
        <w:t>menu</w:t>
      </w:r>
      <w:r w:rsidRPr="002513B4">
        <w:t xml:space="preserve">, while the </w:t>
      </w:r>
      <w:r w:rsidRPr="002513B4">
        <w:rPr>
          <w:i/>
          <w:iCs/>
        </w:rPr>
        <w:t>Forms for Vendors</w:t>
      </w:r>
      <w:r w:rsidRPr="002513B4">
        <w:t xml:space="preserve"> </w:t>
      </w:r>
      <w:r w:rsidR="00884F98" w:rsidRPr="002513B4">
        <w:t xml:space="preserve">menu </w:t>
      </w:r>
      <w:r w:rsidRPr="002513B4">
        <w:t xml:space="preserve">includes </w:t>
      </w:r>
      <w:r w:rsidR="00BA69AF" w:rsidRPr="002513B4">
        <w:t xml:space="preserve">a registration form for vendor users </w:t>
      </w:r>
      <w:r w:rsidR="00E452AC" w:rsidRPr="002513B4">
        <w:t xml:space="preserve">to request credentials </w:t>
      </w:r>
      <w:r w:rsidR="00BA69AF" w:rsidRPr="002513B4">
        <w:t xml:space="preserve">and </w:t>
      </w:r>
      <w:r w:rsidR="00E452AC" w:rsidRPr="002513B4">
        <w:t xml:space="preserve">other </w:t>
      </w:r>
      <w:r w:rsidR="00BA69AF" w:rsidRPr="002513B4">
        <w:t>informational documents for vendors</w:t>
      </w:r>
      <w:r w:rsidRPr="002513B4">
        <w:t xml:space="preserve">. The </w:t>
      </w:r>
      <w:r w:rsidR="004B6847" w:rsidRPr="002513B4">
        <w:rPr>
          <w:i/>
          <w:iCs/>
        </w:rPr>
        <w:t>P&amp;G</w:t>
      </w:r>
      <w:r w:rsidRPr="002513B4">
        <w:rPr>
          <w:i/>
          <w:iCs/>
        </w:rPr>
        <w:t xml:space="preserve"> Manual </w:t>
      </w:r>
      <w:r w:rsidRPr="002513B4">
        <w:t>and the complete set of HHCAHPS survey materials</w:t>
      </w:r>
      <w:r w:rsidR="00B47DA7" w:rsidRPr="002513B4">
        <w:t>, including the survey materials to reflect the updated HHCAHPS Survey effective with the April 2026 sample month,</w:t>
      </w:r>
      <w:r w:rsidRPr="002513B4">
        <w:t xml:space="preserve"> are located under the </w:t>
      </w:r>
      <w:r w:rsidRPr="002513B4">
        <w:rPr>
          <w:i/>
          <w:iCs/>
        </w:rPr>
        <w:t>Survey and Protocols</w:t>
      </w:r>
      <w:r w:rsidRPr="002513B4">
        <w:t xml:space="preserve"> </w:t>
      </w:r>
      <w:r w:rsidR="00884F98" w:rsidRPr="002513B4">
        <w:t>menu</w:t>
      </w:r>
      <w:r w:rsidRPr="002513B4">
        <w:t xml:space="preserve"> and are updated annually or as needed.</w:t>
      </w:r>
      <w:r w:rsidR="00BC13DC" w:rsidRPr="002513B4">
        <w:t xml:space="preserve"> The original and </w:t>
      </w:r>
      <w:r w:rsidR="00157F1B" w:rsidRPr="002513B4">
        <w:t xml:space="preserve">updated </w:t>
      </w:r>
      <w:r w:rsidR="00BC13DC" w:rsidRPr="002513B4">
        <w:t>survey materials are available on this web</w:t>
      </w:r>
      <w:r w:rsidR="00DB4C5C" w:rsidRPr="002513B4">
        <w:t xml:space="preserve"> </w:t>
      </w:r>
      <w:r w:rsidR="00BC13DC" w:rsidRPr="002513B4">
        <w:t xml:space="preserve">page via a user-friendly toggle. </w:t>
      </w:r>
    </w:p>
    <w:p w14:paraId="275375F1" w14:textId="73976C19" w:rsidR="00EE74F9" w:rsidRPr="002513B4" w:rsidRDefault="00847CAB" w:rsidP="00EE74F9">
      <w:pPr>
        <w:pStyle w:val="ListBullet"/>
      </w:pPr>
      <w:r w:rsidRPr="002513B4">
        <w:t>Located under t</w:t>
      </w:r>
      <w:r w:rsidR="00EE74F9" w:rsidRPr="002513B4">
        <w:t xml:space="preserve">he </w:t>
      </w:r>
      <w:r w:rsidR="00EE74F9" w:rsidRPr="002513B4">
        <w:rPr>
          <w:i/>
          <w:iCs/>
        </w:rPr>
        <w:t>Data Submission</w:t>
      </w:r>
      <w:r w:rsidR="00EE74F9" w:rsidRPr="002513B4">
        <w:t xml:space="preserve"> </w:t>
      </w:r>
      <w:r w:rsidR="00884F98" w:rsidRPr="002513B4">
        <w:t>menu</w:t>
      </w:r>
      <w:r w:rsidRPr="002513B4">
        <w:t xml:space="preserve">, the </w:t>
      </w:r>
      <w:r w:rsidR="00E452AC" w:rsidRPr="002513B4">
        <w:t>Data Submission Resources</w:t>
      </w:r>
      <w:r w:rsidRPr="002513B4">
        <w:t xml:space="preserve"> web</w:t>
      </w:r>
      <w:r w:rsidR="00DB4C5C" w:rsidRPr="002513B4">
        <w:t xml:space="preserve"> </w:t>
      </w:r>
      <w:r w:rsidRPr="002513B4">
        <w:t xml:space="preserve">page </w:t>
      </w:r>
      <w:r w:rsidR="00EE74F9" w:rsidRPr="002513B4">
        <w:t>contains documents and materials to support survey vendor data submission activities</w:t>
      </w:r>
      <w:r w:rsidR="000E3283" w:rsidRPr="002513B4">
        <w:t>, including the</w:t>
      </w:r>
      <w:r w:rsidR="00EE74F9" w:rsidRPr="002513B4">
        <w:t xml:space="preserve"> </w:t>
      </w:r>
      <w:r w:rsidR="00EE74F9" w:rsidRPr="002513B4">
        <w:rPr>
          <w:i/>
        </w:rPr>
        <w:t>Home Health Care CAHPS Survey</w:t>
      </w:r>
      <w:r w:rsidR="00EE74F9" w:rsidRPr="002513B4">
        <w:t xml:space="preserve"> </w:t>
      </w:r>
      <w:r w:rsidR="00EE74F9" w:rsidRPr="002513B4">
        <w:rPr>
          <w:i/>
        </w:rPr>
        <w:t xml:space="preserve">Website User and Data Submission Manual, </w:t>
      </w:r>
      <w:r w:rsidR="00EE74F9" w:rsidRPr="002513B4">
        <w:rPr>
          <w:i/>
          <w:iCs/>
        </w:rPr>
        <w:t xml:space="preserve">Version </w:t>
      </w:r>
      <w:r w:rsidR="00BB2074" w:rsidRPr="002513B4">
        <w:rPr>
          <w:i/>
          <w:iCs/>
        </w:rPr>
        <w:t>1</w:t>
      </w:r>
      <w:r w:rsidR="00251E26" w:rsidRPr="002513B4">
        <w:rPr>
          <w:i/>
          <w:iCs/>
        </w:rPr>
        <w:t>4</w:t>
      </w:r>
      <w:r w:rsidR="00EE74F9" w:rsidRPr="002513B4">
        <w:rPr>
          <w:i/>
          <w:iCs/>
        </w:rPr>
        <w:t>.0</w:t>
      </w:r>
      <w:r w:rsidR="00EE74F9" w:rsidRPr="002513B4">
        <w:rPr>
          <w:i/>
        </w:rPr>
        <w:t xml:space="preserve"> </w:t>
      </w:r>
      <w:r w:rsidR="000E3283" w:rsidRPr="002513B4">
        <w:rPr>
          <w:iCs/>
        </w:rPr>
        <w:t xml:space="preserve">and </w:t>
      </w:r>
      <w:r w:rsidR="00D818AA" w:rsidRPr="002513B4">
        <w:rPr>
          <w:iCs/>
        </w:rPr>
        <w:t>XML data file</w:t>
      </w:r>
      <w:r w:rsidR="000E3283" w:rsidRPr="002513B4">
        <w:rPr>
          <w:iCs/>
        </w:rPr>
        <w:t xml:space="preserve"> layout guidance</w:t>
      </w:r>
      <w:r w:rsidR="00EE74F9" w:rsidRPr="002513B4">
        <w:t xml:space="preserve">. </w:t>
      </w:r>
      <w:r w:rsidR="000E3283" w:rsidRPr="002513B4">
        <w:t xml:space="preserve">The </w:t>
      </w:r>
      <w:r w:rsidR="000E3283" w:rsidRPr="002513B4">
        <w:rPr>
          <w:i/>
          <w:iCs/>
        </w:rPr>
        <w:t>Website User and Data Submission Manual</w:t>
      </w:r>
      <w:r w:rsidR="000E3283" w:rsidRPr="002513B4">
        <w:t xml:space="preserve"> </w:t>
      </w:r>
      <w:r w:rsidR="00EE74F9" w:rsidRPr="002513B4">
        <w:t>contains detailed information about the website and data submission process.</w:t>
      </w:r>
      <w:r w:rsidR="00E452AC" w:rsidRPr="002513B4">
        <w:t xml:space="preserve"> Resource documents are available for the updated HHCAHPS Survey </w:t>
      </w:r>
      <w:r w:rsidR="00072C19" w:rsidRPr="002513B4">
        <w:t xml:space="preserve">for the </w:t>
      </w:r>
      <w:r w:rsidR="00E452AC" w:rsidRPr="002513B4">
        <w:t>roll out beginning with the April 2026 sample month.</w:t>
      </w:r>
    </w:p>
    <w:p w14:paraId="47E06B94" w14:textId="413C575A" w:rsidR="00EE74F9" w:rsidRPr="002513B4" w:rsidRDefault="00EE74F9" w:rsidP="00EE74F9">
      <w:pPr>
        <w:pStyle w:val="ListBullet"/>
      </w:pPr>
      <w:r w:rsidRPr="002513B4">
        <w:rPr>
          <w:szCs w:val="20"/>
          <w:lang w:eastAsia="x-none"/>
        </w:rPr>
        <w:t xml:space="preserve">The </w:t>
      </w:r>
      <w:r w:rsidRPr="002513B4">
        <w:rPr>
          <w:i/>
          <w:iCs/>
          <w:szCs w:val="20"/>
          <w:lang w:eastAsia="x-none"/>
        </w:rPr>
        <w:t>For HHAs</w:t>
      </w:r>
      <w:r w:rsidRPr="002513B4">
        <w:rPr>
          <w:szCs w:val="20"/>
          <w:lang w:eastAsia="x-none"/>
        </w:rPr>
        <w:t xml:space="preserve"> </w:t>
      </w:r>
      <w:r w:rsidR="00884F98" w:rsidRPr="002513B4">
        <w:rPr>
          <w:szCs w:val="20"/>
          <w:lang w:eastAsia="x-none"/>
        </w:rPr>
        <w:t>menu</w:t>
      </w:r>
      <w:r w:rsidRPr="002513B4">
        <w:rPr>
          <w:szCs w:val="20"/>
          <w:lang w:eastAsia="x-none"/>
        </w:rPr>
        <w:t xml:space="preserve"> contains documents and materials to support HHA participation activities, including the o</w:t>
      </w:r>
      <w:r w:rsidRPr="002513B4">
        <w:t>nline registration form for HHAs to request credentials for accessing links in the private section of the website and the online Participation Exemption Request form. This is the form that Medicare-certified HHAs that qualify for an exemption from participating in the HHCAHPS Survey are required to complete and submit to request an exemption.</w:t>
      </w:r>
    </w:p>
    <w:p w14:paraId="078BDC1E" w14:textId="313BD07E" w:rsidR="00EE74F9" w:rsidRPr="002513B4" w:rsidRDefault="00EE74F9" w:rsidP="00EE74F9">
      <w:pPr>
        <w:pStyle w:val="ListBullet"/>
      </w:pPr>
      <w:r w:rsidRPr="002513B4">
        <w:t xml:space="preserve">A Quick Links box (shown in </w:t>
      </w:r>
      <w:r w:rsidRPr="002513B4">
        <w:rPr>
          <w:b/>
          <w:bCs/>
          <w:i/>
        </w:rPr>
        <w:t>Exhibit 10.2</w:t>
      </w:r>
      <w:r w:rsidRPr="002513B4">
        <w:t xml:space="preserve">) on the right side of the </w:t>
      </w:r>
      <w:hyperlink r:id="rId126" w:history="1">
        <w:r w:rsidR="00F2792D" w:rsidRPr="002513B4">
          <w:rPr>
            <w:rStyle w:val="Hyperlink"/>
          </w:rPr>
          <w:t>HHCAHPS Survey website</w:t>
        </w:r>
      </w:hyperlink>
      <w:r w:rsidR="00F2792D" w:rsidRPr="002513B4">
        <w:t> </w:t>
      </w:r>
      <w:r w:rsidR="00F2792D" w:rsidRPr="002513B4">
        <w:rPr>
          <w:noProof/>
        </w:rPr>
        <w:drawing>
          <wp:inline distT="0" distB="0" distL="0" distR="0" wp14:anchorId="5EBA4D2F" wp14:editId="2C2FF4FE">
            <wp:extent cx="95250" cy="95250"/>
            <wp:effectExtent l="0" t="0" r="0" b="0"/>
            <wp:docPr id="43982003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t xml:space="preserve"> </w:t>
      </w:r>
      <w:r w:rsidR="00F2792D" w:rsidRPr="002513B4">
        <w:t xml:space="preserve">home page </w:t>
      </w:r>
      <w:r w:rsidRPr="002513B4">
        <w:t>provides easy access to several important links.</w:t>
      </w:r>
    </w:p>
    <w:p w14:paraId="1B882C17" w14:textId="376FA842" w:rsidR="00EE74F9" w:rsidRPr="002513B4" w:rsidRDefault="00EE74F9" w:rsidP="00EE74F9">
      <w:pPr>
        <w:pStyle w:val="ListBullet"/>
      </w:pPr>
      <w:r w:rsidRPr="002513B4">
        <w:t xml:space="preserve">Recent announcements </w:t>
      </w:r>
      <w:r w:rsidR="009F70D9" w:rsidRPr="002513B4">
        <w:t xml:space="preserve">are located </w:t>
      </w:r>
      <w:r w:rsidRPr="002513B4">
        <w:t xml:space="preserve">at the bottom </w:t>
      </w:r>
      <w:r w:rsidR="005523FA" w:rsidRPr="002513B4">
        <w:t xml:space="preserve">of the </w:t>
      </w:r>
      <w:hyperlink r:id="rId127" w:history="1">
        <w:r w:rsidR="005523FA" w:rsidRPr="002513B4">
          <w:rPr>
            <w:rStyle w:val="Hyperlink"/>
          </w:rPr>
          <w:t>HHCAHPS Survey website</w:t>
        </w:r>
      </w:hyperlink>
      <w:r w:rsidR="005523FA" w:rsidRPr="002513B4">
        <w:t> </w:t>
      </w:r>
      <w:r w:rsidR="005523FA" w:rsidRPr="002513B4">
        <w:rPr>
          <w:noProof/>
        </w:rPr>
        <w:drawing>
          <wp:inline distT="0" distB="0" distL="0" distR="0" wp14:anchorId="5196BC99" wp14:editId="1ECE2482">
            <wp:extent cx="95250" cy="95250"/>
            <wp:effectExtent l="0" t="0" r="0" b="0"/>
            <wp:docPr id="102975741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5523FA" w:rsidRPr="002513B4">
        <w:t xml:space="preserve"> home page</w:t>
      </w:r>
      <w:r w:rsidRPr="002513B4">
        <w:t xml:space="preserve">. CMS and the </w:t>
      </w:r>
      <w:r w:rsidR="00F2734F" w:rsidRPr="002513B4">
        <w:t>HHCAHPS Survey Coordination Team</w:t>
      </w:r>
      <w:r w:rsidRPr="002513B4">
        <w:t xml:space="preserve"> use the Announcements page to disseminate important updates about the HHCAHPS Survey, including information about new policies or changes in survey administration protocols and procedures and reminders of upcoming data submission deadlines.</w:t>
      </w:r>
    </w:p>
    <w:p w14:paraId="521022E1" w14:textId="0E9BDA60" w:rsidR="00EE74F9" w:rsidRPr="002513B4" w:rsidRDefault="00EE74F9" w:rsidP="00EE74F9">
      <w:pPr>
        <w:pStyle w:val="ListBullet"/>
      </w:pPr>
      <w:r w:rsidRPr="002513B4">
        <w:t xml:space="preserve">The Information for HHAs box, also on the right side </w:t>
      </w:r>
      <w:r w:rsidR="005523FA" w:rsidRPr="002513B4">
        <w:t xml:space="preserve">of the </w:t>
      </w:r>
      <w:hyperlink r:id="rId128" w:history="1">
        <w:r w:rsidR="005523FA" w:rsidRPr="002513B4">
          <w:rPr>
            <w:rStyle w:val="Hyperlink"/>
          </w:rPr>
          <w:t>HHCAHPS Survey website</w:t>
        </w:r>
      </w:hyperlink>
      <w:r w:rsidR="005523FA" w:rsidRPr="002513B4">
        <w:t> </w:t>
      </w:r>
      <w:r w:rsidR="005523FA" w:rsidRPr="002513B4">
        <w:rPr>
          <w:noProof/>
        </w:rPr>
        <w:drawing>
          <wp:inline distT="0" distB="0" distL="0" distR="0" wp14:anchorId="0C1552FE" wp14:editId="291DA401">
            <wp:extent cx="95250" cy="95250"/>
            <wp:effectExtent l="0" t="0" r="0" b="0"/>
            <wp:docPr id="40146036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5523FA" w:rsidRPr="002513B4">
        <w:t xml:space="preserve"> home page</w:t>
      </w:r>
      <w:r w:rsidRPr="002513B4">
        <w:t xml:space="preserve">, contains important information for Medicare-certified HHAs, including </w:t>
      </w:r>
      <w:r w:rsidR="00BB2074" w:rsidRPr="002513B4">
        <w:t xml:space="preserve">the HHCAHPS Survey fact sheet, </w:t>
      </w:r>
      <w:r w:rsidRPr="002513B4">
        <w:t>information about HHA participation requirements, eligibility for an exemption from participating in the HHCAHPS Survey, and instructions on steps that HHAs must take to participate in the HHCAHPS Survey.</w:t>
      </w:r>
    </w:p>
    <w:p w14:paraId="5016F83D" w14:textId="572F819E" w:rsidR="00EE74F9" w:rsidRPr="002513B4" w:rsidRDefault="00EE74F9" w:rsidP="00EE74F9">
      <w:pPr>
        <w:pStyle w:val="ExhibitCaption"/>
        <w:rPr>
          <w:sz w:val="18"/>
          <w:szCs w:val="18"/>
        </w:rPr>
      </w:pPr>
      <w:bookmarkStart w:id="345" w:name="_Toc224966596"/>
      <w:bookmarkStart w:id="346" w:name="_Toc251310937"/>
      <w:bookmarkStart w:id="347" w:name="_Toc407625465"/>
      <w:bookmarkStart w:id="348" w:name="_Toc24713418"/>
      <w:bookmarkStart w:id="349" w:name="_Toc217024900"/>
      <w:r w:rsidRPr="002513B4">
        <w:rPr>
          <w:sz w:val="18"/>
          <w:szCs w:val="18"/>
        </w:rPr>
        <w:lastRenderedPageBreak/>
        <w:t>Exhibit 10.2</w:t>
      </w:r>
      <w:r w:rsidR="007A68CD" w:rsidRPr="002513B4">
        <w:rPr>
          <w:sz w:val="18"/>
          <w:szCs w:val="18"/>
        </w:rPr>
        <w:t xml:space="preserve"> </w:t>
      </w:r>
      <w:r w:rsidRPr="002513B4">
        <w:rPr>
          <w:sz w:val="18"/>
          <w:szCs w:val="18"/>
        </w:rPr>
        <w:t>Quick Links on the HHCAHPS Survey Website</w:t>
      </w:r>
      <w:bookmarkEnd w:id="345"/>
      <w:bookmarkEnd w:id="346"/>
      <w:bookmarkEnd w:id="347"/>
      <w:bookmarkEnd w:id="348"/>
      <w:bookmarkEnd w:id="349"/>
    </w:p>
    <w:p w14:paraId="1C3E2895" w14:textId="77777777" w:rsidR="00EE74F9" w:rsidRPr="002513B4" w:rsidRDefault="00EE74F9" w:rsidP="00EE74F9">
      <w:pPr>
        <w:pStyle w:val="Graphic"/>
      </w:pPr>
      <w:r w:rsidRPr="002513B4">
        <w:rPr>
          <w:noProof/>
        </w:rPr>
        <w:drawing>
          <wp:inline distT="0" distB="0" distL="0" distR="0" wp14:anchorId="36713728" wp14:editId="7BE1DD01">
            <wp:extent cx="2686050" cy="1438275"/>
            <wp:effectExtent l="0" t="0" r="0" b="0"/>
            <wp:docPr id="952" name="Picture 952" descr="Exhibit 10.2 shows the Quick Links on the HHCAHPS Survey website, which includes links to the Star Ratings Information, Approved Survey Vendors, About Home Health Care CAHPS, and Contact Us/ Other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Picture 952" descr="Exhibit 10.2 shows the Quick Links on the HHCAHPS Survey website, which includes links to the Star Ratings Information, Approved Survey Vendors, About Home Health Care CAHPS, and Contact Us/ Other Links"/>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686050" cy="1438275"/>
                    </a:xfrm>
                    <a:prstGeom prst="rect">
                      <a:avLst/>
                    </a:prstGeom>
                    <a:noFill/>
                    <a:ln>
                      <a:noFill/>
                    </a:ln>
                  </pic:spPr>
                </pic:pic>
              </a:graphicData>
            </a:graphic>
          </wp:inline>
        </w:drawing>
      </w:r>
    </w:p>
    <w:p w14:paraId="17A7AF9A" w14:textId="77777777" w:rsidR="00EE74F9" w:rsidRPr="002513B4" w:rsidRDefault="00EE74F9" w:rsidP="00EE74F9">
      <w:pPr>
        <w:pStyle w:val="Source"/>
        <w:rPr>
          <w:lang w:val="en-US"/>
        </w:rPr>
      </w:pPr>
    </w:p>
    <w:p w14:paraId="170867C3" w14:textId="750A6A84" w:rsidR="00EE74F9" w:rsidRPr="002513B4" w:rsidRDefault="00EE74F9" w:rsidP="00EE74F9">
      <w:pPr>
        <w:pStyle w:val="BodyText"/>
        <w:rPr>
          <w:lang w:val="en-US"/>
        </w:rPr>
      </w:pPr>
      <w:r w:rsidRPr="002513B4">
        <w:rPr>
          <w:lang w:val="en-US"/>
        </w:rPr>
        <w:t xml:space="preserve">Public and private links contained under each of the main navigation </w:t>
      </w:r>
      <w:r w:rsidR="00884F98" w:rsidRPr="002513B4">
        <w:rPr>
          <w:lang w:val="en-US"/>
        </w:rPr>
        <w:t>menu</w:t>
      </w:r>
      <w:r w:rsidRPr="002513B4">
        <w:rPr>
          <w:lang w:val="en-US"/>
        </w:rPr>
        <w:t xml:space="preserve">s are shown in </w:t>
      </w:r>
      <w:r w:rsidRPr="002513B4">
        <w:rPr>
          <w:b/>
          <w:i/>
          <w:lang w:val="en-US"/>
        </w:rPr>
        <w:t>Exhibit 10.3</w:t>
      </w:r>
      <w:r w:rsidRPr="002513B4">
        <w:rPr>
          <w:lang w:val="en-US"/>
        </w:rPr>
        <w:t xml:space="preserve">. Private links under the </w:t>
      </w:r>
      <w:r w:rsidR="00884F98" w:rsidRPr="002513B4">
        <w:rPr>
          <w:lang w:val="en-US"/>
        </w:rPr>
        <w:t>menu</w:t>
      </w:r>
      <w:r w:rsidRPr="002513B4">
        <w:rPr>
          <w:lang w:val="en-US"/>
        </w:rPr>
        <w:t xml:space="preserve">s are only available once the HHA or vendor has logged into the private side of the website, with the </w:t>
      </w:r>
      <w:r w:rsidR="00884F98" w:rsidRPr="002513B4">
        <w:rPr>
          <w:lang w:val="en-US"/>
        </w:rPr>
        <w:t>menu</w:t>
      </w:r>
      <w:r w:rsidRPr="002513B4">
        <w:rPr>
          <w:lang w:val="en-US"/>
        </w:rPr>
        <w:t xml:space="preserve"> labelled </w:t>
      </w:r>
      <w:r w:rsidRPr="002513B4">
        <w:rPr>
          <w:i/>
          <w:iCs/>
          <w:lang w:val="en-US"/>
        </w:rPr>
        <w:t>HHA Dashboard</w:t>
      </w:r>
      <w:r w:rsidRPr="002513B4">
        <w:rPr>
          <w:lang w:val="en-US"/>
        </w:rPr>
        <w:t xml:space="preserve"> or </w:t>
      </w:r>
      <w:r w:rsidRPr="002513B4">
        <w:rPr>
          <w:i/>
          <w:iCs/>
          <w:lang w:val="en-US"/>
        </w:rPr>
        <w:t>Vendor Dashboard</w:t>
      </w:r>
      <w:r w:rsidRPr="002513B4">
        <w:rPr>
          <w:lang w:val="en-US"/>
        </w:rPr>
        <w:t xml:space="preserve"> only appearing once a user has logged into the private side of the HHCAHPS website.</w:t>
      </w:r>
    </w:p>
    <w:p w14:paraId="55AEE835" w14:textId="281995EF" w:rsidR="00EE74F9" w:rsidRPr="002513B4" w:rsidRDefault="00EE74F9" w:rsidP="00EE74F9">
      <w:pPr>
        <w:pStyle w:val="ExhibitCaption"/>
        <w:rPr>
          <w:sz w:val="18"/>
          <w:szCs w:val="18"/>
        </w:rPr>
      </w:pPr>
      <w:bookmarkStart w:id="350" w:name="_Toc251310939"/>
      <w:bookmarkStart w:id="351" w:name="_Toc407625467"/>
      <w:bookmarkStart w:id="352" w:name="_Toc24713419"/>
      <w:bookmarkStart w:id="353" w:name="_Toc217024901"/>
      <w:bookmarkStart w:id="354" w:name="_Hlk216792399"/>
      <w:r w:rsidRPr="002513B4">
        <w:rPr>
          <w:sz w:val="18"/>
          <w:szCs w:val="18"/>
        </w:rPr>
        <w:t>Exhibit 10.3</w:t>
      </w:r>
      <w:r w:rsidR="007A68CD" w:rsidRPr="002513B4">
        <w:rPr>
          <w:sz w:val="18"/>
          <w:szCs w:val="18"/>
        </w:rPr>
        <w:t xml:space="preserve"> </w:t>
      </w:r>
      <w:r w:rsidRPr="002513B4">
        <w:rPr>
          <w:sz w:val="18"/>
          <w:szCs w:val="18"/>
        </w:rPr>
        <w:t xml:space="preserve">HHCAHPS Survey Site Navigation </w:t>
      </w:r>
      <w:bookmarkEnd w:id="350"/>
      <w:bookmarkEnd w:id="351"/>
      <w:bookmarkEnd w:id="352"/>
      <w:r w:rsidR="00BD61B9" w:rsidRPr="002513B4">
        <w:rPr>
          <w:sz w:val="18"/>
          <w:szCs w:val="18"/>
        </w:rPr>
        <w:t>Menu</w:t>
      </w:r>
      <w:r w:rsidR="00C86598" w:rsidRPr="002513B4">
        <w:rPr>
          <w:sz w:val="18"/>
          <w:szCs w:val="18"/>
        </w:rPr>
        <w:t>s</w:t>
      </w:r>
      <w:bookmarkEnd w:id="353"/>
    </w:p>
    <w:tbl>
      <w:tblPr>
        <w:tblStyle w:val="PlainTable1"/>
        <w:tblW w:w="0" w:type="auto"/>
        <w:tblLook w:val="04A0" w:firstRow="1" w:lastRow="0" w:firstColumn="1" w:lastColumn="0" w:noHBand="0" w:noVBand="1"/>
        <w:tblCaption w:val="Exhibit 10.3 HHCAHPS Survey Site Navigation Menus"/>
        <w:tblDescription w:val="Exhibit 10.3 shows the links available under each tab of the navigation menu on the HHCAHPS Survey website."/>
      </w:tblPr>
      <w:tblGrid>
        <w:gridCol w:w="3327"/>
        <w:gridCol w:w="6023"/>
      </w:tblGrid>
      <w:tr w:rsidR="00362E08" w:rsidRPr="002513B4" w14:paraId="42A1F808" w14:textId="77777777" w:rsidTr="00362E0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30" w:type="dxa"/>
            <w:shd w:val="clear" w:color="auto" w:fill="1F497D"/>
          </w:tcPr>
          <w:p w14:paraId="6D70ADA6" w14:textId="77777777" w:rsidR="00362E08" w:rsidRPr="002513B4" w:rsidRDefault="00362E08" w:rsidP="00362E08">
            <w:pPr>
              <w:pStyle w:val="TableHeaders"/>
              <w:rPr>
                <w:b/>
                <w:bCs w:val="0"/>
                <w:color w:val="FFFFFF" w:themeColor="background1"/>
                <w:sz w:val="20"/>
                <w:szCs w:val="20"/>
              </w:rPr>
            </w:pPr>
            <w:r w:rsidRPr="002513B4">
              <w:rPr>
                <w:b/>
                <w:bCs w:val="0"/>
                <w:color w:val="FFFFFF" w:themeColor="background1"/>
                <w:sz w:val="20"/>
                <w:szCs w:val="20"/>
              </w:rPr>
              <w:t>Menu Tab</w:t>
            </w:r>
          </w:p>
        </w:tc>
        <w:tc>
          <w:tcPr>
            <w:tcW w:w="6030" w:type="dxa"/>
            <w:shd w:val="clear" w:color="auto" w:fill="1F497D"/>
          </w:tcPr>
          <w:p w14:paraId="16C29A31" w14:textId="77777777" w:rsidR="00362E08" w:rsidRPr="002513B4" w:rsidRDefault="00362E08" w:rsidP="00362E08">
            <w:pPr>
              <w:pStyle w:val="TableHeaders"/>
              <w:cnfStyle w:val="100000000000" w:firstRow="1" w:lastRow="0" w:firstColumn="0" w:lastColumn="0" w:oddVBand="0" w:evenVBand="0" w:oddHBand="0" w:evenHBand="0" w:firstRowFirstColumn="0" w:firstRowLastColumn="0" w:lastRowFirstColumn="0" w:lastRowLastColumn="0"/>
              <w:rPr>
                <w:b/>
                <w:bCs w:val="0"/>
                <w:color w:val="FFFFFF" w:themeColor="background1"/>
                <w:sz w:val="20"/>
                <w:szCs w:val="20"/>
              </w:rPr>
            </w:pPr>
            <w:r w:rsidRPr="002513B4">
              <w:rPr>
                <w:b/>
                <w:bCs w:val="0"/>
                <w:color w:val="FFFFFF" w:themeColor="background1"/>
                <w:sz w:val="20"/>
                <w:szCs w:val="20"/>
              </w:rPr>
              <w:t>Available Resources</w:t>
            </w:r>
          </w:p>
        </w:tc>
      </w:tr>
      <w:tr w:rsidR="00362E08" w:rsidRPr="002513B4" w14:paraId="5FDDB7CB" w14:textId="77777777" w:rsidTr="009330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14:paraId="5AB52784" w14:textId="77777777" w:rsidR="00362E08" w:rsidRPr="002513B4" w:rsidRDefault="00362E08" w:rsidP="00362E08">
            <w:pPr>
              <w:pStyle w:val="TableText"/>
              <w:rPr>
                <w:sz w:val="20"/>
                <w:szCs w:val="20"/>
              </w:rPr>
            </w:pPr>
            <w:r w:rsidRPr="002513B4">
              <w:rPr>
                <w:sz w:val="20"/>
                <w:szCs w:val="20"/>
              </w:rPr>
              <w:t>HHA or Vendor Dashboard</w:t>
            </w:r>
          </w:p>
        </w:tc>
        <w:tc>
          <w:tcPr>
            <w:tcW w:w="6030" w:type="dxa"/>
            <w:shd w:val="clear" w:color="auto" w:fill="D9D9D9"/>
          </w:tcPr>
          <w:p w14:paraId="72B9E045" w14:textId="77777777" w:rsidR="00362E08" w:rsidRPr="002513B4" w:rsidRDefault="00362E08" w:rsidP="00576BF4">
            <w:pPr>
              <w:pStyle w:val="ListParagraph"/>
              <w:numPr>
                <w:ilvl w:val="0"/>
                <w:numId w:val="44"/>
              </w:numPr>
              <w:spacing w:after="0"/>
              <w:ind w:left="346" w:hanging="346"/>
              <w:contextualSpacing/>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This menu appears only on the private side of website</w:t>
            </w:r>
          </w:p>
        </w:tc>
      </w:tr>
      <w:tr w:rsidR="00362E08" w:rsidRPr="002513B4" w14:paraId="2E92D367" w14:textId="77777777" w:rsidTr="00362E08">
        <w:trPr>
          <w:cantSplit/>
        </w:trPr>
        <w:tc>
          <w:tcPr>
            <w:cnfStyle w:val="001000000000" w:firstRow="0" w:lastRow="0" w:firstColumn="1" w:lastColumn="0" w:oddVBand="0" w:evenVBand="0" w:oddHBand="0" w:evenHBand="0" w:firstRowFirstColumn="0" w:firstRowLastColumn="0" w:lastRowFirstColumn="0" w:lastRowLastColumn="0"/>
            <w:tcW w:w="3330" w:type="dxa"/>
          </w:tcPr>
          <w:p w14:paraId="57E0C2FB" w14:textId="77777777" w:rsidR="00362E08" w:rsidRPr="002513B4" w:rsidRDefault="00362E08" w:rsidP="00362E08">
            <w:pPr>
              <w:pStyle w:val="TableText"/>
              <w:rPr>
                <w:b w:val="0"/>
                <w:bCs w:val="0"/>
                <w:sz w:val="20"/>
                <w:szCs w:val="20"/>
              </w:rPr>
            </w:pPr>
            <w:r w:rsidRPr="002513B4">
              <w:rPr>
                <w:sz w:val="20"/>
                <w:szCs w:val="20"/>
              </w:rPr>
              <w:t>General Information</w:t>
            </w:r>
          </w:p>
        </w:tc>
        <w:tc>
          <w:tcPr>
            <w:tcW w:w="6030" w:type="dxa"/>
          </w:tcPr>
          <w:p w14:paraId="64A50806"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About HHCAHPS Survey</w:t>
            </w:r>
          </w:p>
          <w:p w14:paraId="2A31BD26"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CTQR Newsletters</w:t>
            </w:r>
          </w:p>
          <w:p w14:paraId="51323505"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Chartbook</w:t>
            </w:r>
          </w:p>
          <w:p w14:paraId="0E28CEF8"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Mode Experiment</w:t>
            </w:r>
          </w:p>
          <w:p w14:paraId="4E98C4E1"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Vendor Application Process</w:t>
            </w:r>
          </w:p>
          <w:p w14:paraId="55C5BBD6"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Approved Survey Vendors</w:t>
            </w:r>
          </w:p>
          <w:p w14:paraId="1DC3E141"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Archived Publicly Reported Data</w:t>
            </w:r>
          </w:p>
          <w:p w14:paraId="7EA52C4A"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Calculating Public Reporting Measures</w:t>
            </w:r>
          </w:p>
          <w:p w14:paraId="21A0FD22"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Mode Adjustments for Updated HHCAHPS Survey</w:t>
            </w:r>
          </w:p>
          <w:p w14:paraId="381BCAB5"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Contact Us / Other Links</w:t>
            </w:r>
          </w:p>
          <w:p w14:paraId="1D3C54ED" w14:textId="77777777" w:rsidR="00362E08" w:rsidRPr="002513B4" w:rsidRDefault="00362E08" w:rsidP="00576BF4">
            <w:pPr>
              <w:pStyle w:val="TableText"/>
              <w:numPr>
                <w:ilvl w:val="0"/>
                <w:numId w:val="45"/>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lang w:eastAsia="zh-CN"/>
              </w:rPr>
            </w:pPr>
            <w:r w:rsidRPr="002513B4">
              <w:rPr>
                <w:sz w:val="20"/>
                <w:szCs w:val="20"/>
                <w:lang w:eastAsia="zh-CN"/>
              </w:rPr>
              <w:t>Announcements</w:t>
            </w:r>
          </w:p>
        </w:tc>
      </w:tr>
      <w:tr w:rsidR="00362E08" w:rsidRPr="002513B4" w14:paraId="6F431E0C" w14:textId="77777777" w:rsidTr="009330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14:paraId="51C4DEF3" w14:textId="77777777" w:rsidR="00362E08" w:rsidRPr="002513B4" w:rsidRDefault="00362E08" w:rsidP="00362E08">
            <w:pPr>
              <w:pStyle w:val="TableText"/>
              <w:rPr>
                <w:b w:val="0"/>
                <w:bCs w:val="0"/>
                <w:sz w:val="20"/>
                <w:szCs w:val="20"/>
              </w:rPr>
            </w:pPr>
            <w:r w:rsidRPr="002513B4">
              <w:rPr>
                <w:sz w:val="20"/>
                <w:szCs w:val="20"/>
              </w:rPr>
              <w:t>Training</w:t>
            </w:r>
          </w:p>
        </w:tc>
        <w:tc>
          <w:tcPr>
            <w:tcW w:w="6030" w:type="dxa"/>
            <w:shd w:val="clear" w:color="auto" w:fill="D9D9D9"/>
          </w:tcPr>
          <w:p w14:paraId="08A9E387" w14:textId="77777777" w:rsidR="00362E08" w:rsidRPr="002513B4" w:rsidRDefault="00362E08" w:rsidP="00576BF4">
            <w:pPr>
              <w:pStyle w:val="TableText"/>
              <w:numPr>
                <w:ilvl w:val="0"/>
                <w:numId w:val="46"/>
              </w:numPr>
              <w:spacing w:before="0" w:after="0"/>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Registration Form</w:t>
            </w:r>
          </w:p>
          <w:p w14:paraId="788A5DF3" w14:textId="77777777" w:rsidR="00362E08" w:rsidRPr="002513B4" w:rsidRDefault="00362E08" w:rsidP="00576BF4">
            <w:pPr>
              <w:pStyle w:val="TableText"/>
              <w:numPr>
                <w:ilvl w:val="0"/>
                <w:numId w:val="46"/>
              </w:numPr>
              <w:spacing w:before="0" w:after="0"/>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lang w:eastAsia="zh-CN"/>
              </w:rPr>
              <w:t>Training Materials</w:t>
            </w:r>
          </w:p>
        </w:tc>
      </w:tr>
      <w:tr w:rsidR="00362E08" w:rsidRPr="002513B4" w14:paraId="467F1BC9" w14:textId="77777777" w:rsidTr="00362E08">
        <w:trPr>
          <w:cantSplit/>
        </w:trPr>
        <w:tc>
          <w:tcPr>
            <w:cnfStyle w:val="001000000000" w:firstRow="0" w:lastRow="0" w:firstColumn="1" w:lastColumn="0" w:oddVBand="0" w:evenVBand="0" w:oddHBand="0" w:evenHBand="0" w:firstRowFirstColumn="0" w:firstRowLastColumn="0" w:lastRowFirstColumn="0" w:lastRowLastColumn="0"/>
            <w:tcW w:w="3330" w:type="dxa"/>
          </w:tcPr>
          <w:p w14:paraId="7CE4AC6A" w14:textId="77777777" w:rsidR="00362E08" w:rsidRPr="002513B4" w:rsidRDefault="00362E08" w:rsidP="00362E08">
            <w:pPr>
              <w:pStyle w:val="TableText"/>
              <w:rPr>
                <w:b w:val="0"/>
                <w:bCs w:val="0"/>
                <w:sz w:val="20"/>
                <w:szCs w:val="20"/>
              </w:rPr>
            </w:pPr>
            <w:r w:rsidRPr="002513B4">
              <w:rPr>
                <w:sz w:val="20"/>
                <w:szCs w:val="20"/>
              </w:rPr>
              <w:t>Forms for Vendors</w:t>
            </w:r>
          </w:p>
        </w:tc>
        <w:tc>
          <w:tcPr>
            <w:tcW w:w="6030" w:type="dxa"/>
          </w:tcPr>
          <w:p w14:paraId="6BB75AA9"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Vendor Registration</w:t>
            </w:r>
          </w:p>
          <w:p w14:paraId="741E04D8"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Minimum Business Requirements</w:t>
            </w:r>
          </w:p>
          <w:p w14:paraId="3EACD19F"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b/>
                <w:bCs/>
                <w:sz w:val="20"/>
                <w:szCs w:val="20"/>
              </w:rPr>
            </w:pPr>
            <w:r w:rsidRPr="002513B4">
              <w:rPr>
                <w:sz w:val="20"/>
                <w:szCs w:val="20"/>
              </w:rPr>
              <w:t xml:space="preserve">Exceptions Request Form* </w:t>
            </w:r>
          </w:p>
          <w:p w14:paraId="06F2A40C"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Discrepancy Notification Report* </w:t>
            </w:r>
          </w:p>
          <w:p w14:paraId="258C0753"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Model Quality Assurance Plan</w:t>
            </w:r>
          </w:p>
          <w:p w14:paraId="0801C004"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Submit Quality Assurance Plan* </w:t>
            </w:r>
          </w:p>
          <w:p w14:paraId="46300A28"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Survey Vendor Authorization Report* </w:t>
            </w:r>
          </w:p>
          <w:p w14:paraId="3C027CEB" w14:textId="77777777" w:rsidR="00362E08" w:rsidRPr="002513B4" w:rsidRDefault="00362E08" w:rsidP="00576BF4">
            <w:pPr>
              <w:pStyle w:val="TableText"/>
              <w:numPr>
                <w:ilvl w:val="0"/>
                <w:numId w:val="47"/>
              </w:numPr>
              <w:spacing w:before="0" w:after="0"/>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Manage Users* </w:t>
            </w:r>
          </w:p>
        </w:tc>
      </w:tr>
      <w:tr w:rsidR="00362E08" w:rsidRPr="002513B4" w14:paraId="3D9AC74B" w14:textId="77777777" w:rsidTr="009330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14:paraId="1559D4C0" w14:textId="77777777" w:rsidR="00362E08" w:rsidRPr="002513B4" w:rsidRDefault="00362E08" w:rsidP="00362E08">
            <w:pPr>
              <w:pStyle w:val="TableText"/>
              <w:rPr>
                <w:b w:val="0"/>
                <w:bCs w:val="0"/>
                <w:sz w:val="20"/>
                <w:szCs w:val="20"/>
              </w:rPr>
            </w:pPr>
            <w:r w:rsidRPr="002513B4">
              <w:rPr>
                <w:sz w:val="20"/>
                <w:szCs w:val="20"/>
              </w:rPr>
              <w:lastRenderedPageBreak/>
              <w:t>Surveys and Protocols</w:t>
            </w:r>
          </w:p>
        </w:tc>
        <w:tc>
          <w:tcPr>
            <w:tcW w:w="6030" w:type="dxa"/>
            <w:shd w:val="clear" w:color="auto" w:fill="D9D9D9"/>
          </w:tcPr>
          <w:p w14:paraId="32437E5A"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Protocols &amp; Guidelines Manual</w:t>
            </w:r>
          </w:p>
          <w:p w14:paraId="625309CD"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Questionnaire</w:t>
            </w:r>
          </w:p>
          <w:p w14:paraId="26ABE5C6"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Supplemental Questions</w:t>
            </w:r>
          </w:p>
          <w:p w14:paraId="2B9AB0C7"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Consent to Share Responses</w:t>
            </w:r>
          </w:p>
          <w:p w14:paraId="687C7F95"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Survey Composites and Global Ratings</w:t>
            </w:r>
          </w:p>
          <w:p w14:paraId="0B37674D"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 xml:space="preserve">Sample Letters </w:t>
            </w:r>
          </w:p>
          <w:p w14:paraId="6782A539"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Telephone Scripts</w:t>
            </w:r>
          </w:p>
          <w:p w14:paraId="1A097B03"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FAQs for Interviewers</w:t>
            </w:r>
          </w:p>
          <w:p w14:paraId="78C0ECDD"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General Guidelines for Telephone Interviewers</w:t>
            </w:r>
          </w:p>
          <w:p w14:paraId="1C4BE521"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Interviewer Monitoring Form</w:t>
            </w:r>
          </w:p>
          <w:p w14:paraId="26A1ECCB"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OMB Disclosure Notices</w:t>
            </w:r>
          </w:p>
          <w:p w14:paraId="2D05FE5D"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Sample File Layout</w:t>
            </w:r>
          </w:p>
          <w:p w14:paraId="59FC0EB9"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Vendor Application PDF</w:t>
            </w:r>
          </w:p>
          <w:p w14:paraId="35CDC05A"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Exceptions Request Form PDF</w:t>
            </w:r>
          </w:p>
          <w:p w14:paraId="3158FAD0" w14:textId="77777777" w:rsidR="00362E08" w:rsidRPr="002513B4" w:rsidRDefault="00362E08" w:rsidP="00576BF4">
            <w:pPr>
              <w:pStyle w:val="ListParagraph"/>
              <w:numPr>
                <w:ilvl w:val="0"/>
                <w:numId w:val="48"/>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Discrepancy Notification Report PDF</w:t>
            </w:r>
          </w:p>
        </w:tc>
      </w:tr>
      <w:tr w:rsidR="00362E08" w:rsidRPr="002513B4" w14:paraId="65B6F5FF" w14:textId="77777777" w:rsidTr="00362E08">
        <w:trPr>
          <w:cantSplit/>
        </w:trPr>
        <w:tc>
          <w:tcPr>
            <w:cnfStyle w:val="001000000000" w:firstRow="0" w:lastRow="0" w:firstColumn="1" w:lastColumn="0" w:oddVBand="0" w:evenVBand="0" w:oddHBand="0" w:evenHBand="0" w:firstRowFirstColumn="0" w:firstRowLastColumn="0" w:lastRowFirstColumn="0" w:lastRowLastColumn="0"/>
            <w:tcW w:w="3330" w:type="dxa"/>
          </w:tcPr>
          <w:p w14:paraId="75DC57E4" w14:textId="77777777" w:rsidR="00362E08" w:rsidRPr="002513B4" w:rsidRDefault="00362E08" w:rsidP="00362E08">
            <w:pPr>
              <w:pStyle w:val="TableText"/>
              <w:rPr>
                <w:b w:val="0"/>
                <w:bCs w:val="0"/>
                <w:sz w:val="20"/>
                <w:szCs w:val="20"/>
              </w:rPr>
            </w:pPr>
            <w:r w:rsidRPr="002513B4">
              <w:rPr>
                <w:sz w:val="20"/>
                <w:szCs w:val="20"/>
              </w:rPr>
              <w:t>Data Submission</w:t>
            </w:r>
          </w:p>
        </w:tc>
        <w:tc>
          <w:tcPr>
            <w:tcW w:w="6030" w:type="dxa"/>
          </w:tcPr>
          <w:p w14:paraId="2124C941" w14:textId="77777777" w:rsidR="00362E08" w:rsidRPr="002513B4" w:rsidRDefault="00362E08" w:rsidP="00576BF4">
            <w:pPr>
              <w:pStyle w:val="ListParagraph"/>
              <w:numPr>
                <w:ilvl w:val="0"/>
                <w:numId w:val="49"/>
              </w:numPr>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Data Submission Deadlines</w:t>
            </w:r>
          </w:p>
          <w:p w14:paraId="1B498D2B" w14:textId="77777777" w:rsidR="00362E08" w:rsidRPr="002513B4" w:rsidRDefault="00362E08" w:rsidP="00576BF4">
            <w:pPr>
              <w:pStyle w:val="ListParagraph"/>
              <w:numPr>
                <w:ilvl w:val="0"/>
                <w:numId w:val="49"/>
              </w:numPr>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Data Submission Resources</w:t>
            </w:r>
          </w:p>
          <w:p w14:paraId="6FB97A31" w14:textId="77777777" w:rsidR="00362E08" w:rsidRPr="002513B4" w:rsidRDefault="00362E08" w:rsidP="00576BF4">
            <w:pPr>
              <w:pStyle w:val="ListParagraph"/>
              <w:numPr>
                <w:ilvl w:val="0"/>
                <w:numId w:val="49"/>
              </w:numPr>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Schema Validation Tool*</w:t>
            </w:r>
          </w:p>
          <w:p w14:paraId="3991A642" w14:textId="77777777" w:rsidR="00362E08" w:rsidRPr="002513B4" w:rsidRDefault="00362E08" w:rsidP="00576BF4">
            <w:pPr>
              <w:pStyle w:val="ListParagraph"/>
              <w:numPr>
                <w:ilvl w:val="0"/>
                <w:numId w:val="49"/>
              </w:numPr>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 xml:space="preserve">Data Submission Tool* </w:t>
            </w:r>
          </w:p>
          <w:p w14:paraId="23A40094" w14:textId="77777777" w:rsidR="00362E08" w:rsidRPr="002513B4" w:rsidRDefault="00362E08" w:rsidP="00576BF4">
            <w:pPr>
              <w:pStyle w:val="ListParagraph"/>
              <w:numPr>
                <w:ilvl w:val="0"/>
                <w:numId w:val="49"/>
              </w:numPr>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20"/>
                <w:szCs w:val="20"/>
              </w:rPr>
            </w:pPr>
            <w:r w:rsidRPr="002513B4">
              <w:rPr>
                <w:sz w:val="20"/>
                <w:szCs w:val="20"/>
              </w:rPr>
              <w:t>Data Submission Reports*</w:t>
            </w:r>
          </w:p>
        </w:tc>
      </w:tr>
      <w:tr w:rsidR="00362E08" w:rsidRPr="002513B4" w14:paraId="1D750B5A" w14:textId="77777777" w:rsidTr="009330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14:paraId="3708155F" w14:textId="77777777" w:rsidR="00362E08" w:rsidRPr="002513B4" w:rsidRDefault="00362E08" w:rsidP="00362E08">
            <w:pPr>
              <w:pStyle w:val="TableText"/>
              <w:rPr>
                <w:b w:val="0"/>
                <w:bCs w:val="0"/>
                <w:sz w:val="20"/>
                <w:szCs w:val="20"/>
              </w:rPr>
            </w:pPr>
            <w:r w:rsidRPr="002513B4">
              <w:rPr>
                <w:sz w:val="20"/>
                <w:szCs w:val="20"/>
              </w:rPr>
              <w:t>For HHAs</w:t>
            </w:r>
          </w:p>
        </w:tc>
        <w:tc>
          <w:tcPr>
            <w:tcW w:w="6030" w:type="dxa"/>
            <w:shd w:val="clear" w:color="auto" w:fill="D9D9D9"/>
          </w:tcPr>
          <w:p w14:paraId="4C28C044"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Register for Login Credentials</w:t>
            </w:r>
          </w:p>
          <w:p w14:paraId="5264D9FA"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Register CCNs*</w:t>
            </w:r>
          </w:p>
          <w:p w14:paraId="020B2D88"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Participation Exemption Request Form</w:t>
            </w:r>
          </w:p>
          <w:p w14:paraId="01DE687E"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Manage Users*</w:t>
            </w:r>
          </w:p>
          <w:p w14:paraId="4C5B5216"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Authorize a Vendor*</w:t>
            </w:r>
          </w:p>
          <w:p w14:paraId="6668FC30"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Data Submission Reports*</w:t>
            </w:r>
          </w:p>
          <w:p w14:paraId="649FACB4"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Survey Preview Report*</w:t>
            </w:r>
          </w:p>
          <w:p w14:paraId="5CB16B7A" w14:textId="77777777" w:rsidR="00362E08" w:rsidRPr="002513B4" w:rsidRDefault="00362E08" w:rsidP="00576BF4">
            <w:pPr>
              <w:pStyle w:val="ListParagraph"/>
              <w:numPr>
                <w:ilvl w:val="0"/>
                <w:numId w:val="50"/>
              </w:numPr>
              <w:spacing w:after="0" w:line="240" w:lineRule="auto"/>
              <w:ind w:left="346" w:hanging="346"/>
              <w:cnfStyle w:val="000000100000" w:firstRow="0" w:lastRow="0" w:firstColumn="0" w:lastColumn="0" w:oddVBand="0" w:evenVBand="0" w:oddHBand="1" w:evenHBand="0" w:firstRowFirstColumn="0" w:firstRowLastColumn="0" w:lastRowFirstColumn="0" w:lastRowLastColumn="0"/>
              <w:rPr>
                <w:sz w:val="20"/>
                <w:szCs w:val="20"/>
              </w:rPr>
            </w:pPr>
            <w:r w:rsidRPr="002513B4">
              <w:rPr>
                <w:sz w:val="20"/>
                <w:szCs w:val="20"/>
              </w:rPr>
              <w:t>Understanding the Preview Report</w:t>
            </w:r>
          </w:p>
        </w:tc>
      </w:tr>
    </w:tbl>
    <w:p w14:paraId="66B599BF" w14:textId="0DF29D98" w:rsidR="00FF74B4" w:rsidRPr="002513B4" w:rsidRDefault="00A7362D" w:rsidP="00AF0F93">
      <w:pPr>
        <w:pStyle w:val="Source"/>
        <w:rPr>
          <w:lang w:val="en-US"/>
        </w:rPr>
      </w:pPr>
      <w:r w:rsidRPr="002513B4">
        <w:rPr>
          <w:lang w:val="en-US"/>
        </w:rPr>
        <w:t>* Indicates resource is available on the private side of the website.</w:t>
      </w:r>
    </w:p>
    <w:bookmarkEnd w:id="354"/>
    <w:p w14:paraId="2084AAFF" w14:textId="77777777" w:rsidR="00EE74F9" w:rsidRPr="002513B4" w:rsidRDefault="00EE74F9" w:rsidP="00EE74F9">
      <w:pPr>
        <w:pStyle w:val="BodyText"/>
        <w:rPr>
          <w:lang w:val="en-US"/>
        </w:rPr>
      </w:pPr>
      <w:r w:rsidRPr="002513B4">
        <w:rPr>
          <w:lang w:val="en-US"/>
        </w:rPr>
        <w:t xml:space="preserve">The Dashboard </w:t>
      </w:r>
      <w:r w:rsidR="00884F98" w:rsidRPr="002513B4">
        <w:rPr>
          <w:lang w:val="en-US"/>
        </w:rPr>
        <w:t>menu</w:t>
      </w:r>
      <w:r w:rsidRPr="002513B4">
        <w:rPr>
          <w:lang w:val="en-US"/>
        </w:rPr>
        <w:t xml:space="preserve"> provides users with links to key items on the website, depending on the type of user. For example, HHAs are given links to </w:t>
      </w:r>
      <w:proofErr w:type="gramStart"/>
      <w:r w:rsidRPr="002513B4">
        <w:rPr>
          <w:lang w:val="en-US"/>
        </w:rPr>
        <w:t>all of</w:t>
      </w:r>
      <w:proofErr w:type="gramEnd"/>
      <w:r w:rsidRPr="002513B4">
        <w:rPr>
          <w:lang w:val="en-US"/>
        </w:rPr>
        <w:t xml:space="preserve"> the documents required for the Registration and Vendor Authorization processes, including links to the </w:t>
      </w:r>
      <w:r w:rsidR="00A33870" w:rsidRPr="002513B4">
        <w:rPr>
          <w:lang w:val="en-US"/>
        </w:rPr>
        <w:t xml:space="preserve">Register CCNs and </w:t>
      </w:r>
      <w:r w:rsidRPr="002513B4">
        <w:rPr>
          <w:lang w:val="en-US"/>
        </w:rPr>
        <w:t>vendor authorization form</w:t>
      </w:r>
      <w:r w:rsidR="00A33870" w:rsidRPr="002513B4">
        <w:rPr>
          <w:lang w:val="en-US"/>
        </w:rPr>
        <w:t>s</w:t>
      </w:r>
      <w:r w:rsidRPr="002513B4">
        <w:rPr>
          <w:lang w:val="en-US"/>
        </w:rPr>
        <w:t xml:space="preserve">; a User </w:t>
      </w:r>
      <w:r w:rsidR="00A33870" w:rsidRPr="002513B4">
        <w:rPr>
          <w:lang w:val="en-US"/>
        </w:rPr>
        <w:t xml:space="preserve">Access </w:t>
      </w:r>
      <w:r w:rsidRPr="002513B4">
        <w:rPr>
          <w:lang w:val="en-US"/>
        </w:rPr>
        <w:t xml:space="preserve">console, showing administrative users within the organization; and </w:t>
      </w:r>
      <w:r w:rsidR="00A33870" w:rsidRPr="002513B4">
        <w:rPr>
          <w:lang w:val="en-US"/>
        </w:rPr>
        <w:t xml:space="preserve">a </w:t>
      </w:r>
      <w:r w:rsidRPr="002513B4">
        <w:rPr>
          <w:lang w:val="en-US"/>
        </w:rPr>
        <w:t xml:space="preserve">link to their data submission </w:t>
      </w:r>
      <w:r w:rsidR="00A33870" w:rsidRPr="002513B4">
        <w:rPr>
          <w:lang w:val="en-US"/>
        </w:rPr>
        <w:t>r</w:t>
      </w:r>
      <w:r w:rsidRPr="002513B4">
        <w:rPr>
          <w:lang w:val="en-US"/>
        </w:rPr>
        <w:t xml:space="preserve">eport. Survey vendors are provided with the status of key elements of the Vendor Approval Process—including the status of and links to their </w:t>
      </w:r>
      <w:r w:rsidR="00684F80" w:rsidRPr="002513B4">
        <w:rPr>
          <w:lang w:val="en-US"/>
        </w:rPr>
        <w:t xml:space="preserve">Vendor Registration, </w:t>
      </w:r>
      <w:r w:rsidR="00A33870" w:rsidRPr="002513B4">
        <w:rPr>
          <w:lang w:val="en-US"/>
        </w:rPr>
        <w:t>V</w:t>
      </w:r>
      <w:r w:rsidRPr="002513B4">
        <w:rPr>
          <w:lang w:val="en-US"/>
        </w:rPr>
        <w:t xml:space="preserve">endor </w:t>
      </w:r>
      <w:r w:rsidR="00A33870" w:rsidRPr="002513B4">
        <w:rPr>
          <w:lang w:val="en-US"/>
        </w:rPr>
        <w:t>A</w:t>
      </w:r>
      <w:r w:rsidRPr="002513B4">
        <w:rPr>
          <w:lang w:val="en-US"/>
        </w:rPr>
        <w:t>pplication</w:t>
      </w:r>
      <w:r w:rsidR="00A33870" w:rsidRPr="002513B4">
        <w:rPr>
          <w:lang w:val="en-US"/>
        </w:rPr>
        <w:t xml:space="preserve"> Form</w:t>
      </w:r>
      <w:r w:rsidRPr="002513B4">
        <w:rPr>
          <w:lang w:val="en-US"/>
        </w:rPr>
        <w:t xml:space="preserve">, </w:t>
      </w:r>
      <w:r w:rsidR="00A33870" w:rsidRPr="002513B4">
        <w:rPr>
          <w:lang w:val="en-US"/>
        </w:rPr>
        <w:t>C</w:t>
      </w:r>
      <w:r w:rsidRPr="002513B4">
        <w:rPr>
          <w:lang w:val="en-US"/>
        </w:rPr>
        <w:t xml:space="preserve">onsent </w:t>
      </w:r>
      <w:r w:rsidR="00A33870" w:rsidRPr="002513B4">
        <w:rPr>
          <w:lang w:val="en-US"/>
        </w:rPr>
        <w:t>F</w:t>
      </w:r>
      <w:r w:rsidRPr="002513B4">
        <w:rPr>
          <w:lang w:val="en-US"/>
        </w:rPr>
        <w:t xml:space="preserve">orm, and overall approval status; </w:t>
      </w:r>
      <w:r w:rsidR="00A33870" w:rsidRPr="002513B4">
        <w:rPr>
          <w:lang w:val="en-US"/>
        </w:rPr>
        <w:t xml:space="preserve">links to both data submission reports and reports showing the HHAs that have authorized the; </w:t>
      </w:r>
      <w:r w:rsidR="00B870E4" w:rsidRPr="002513B4">
        <w:rPr>
          <w:lang w:val="en-US"/>
        </w:rPr>
        <w:t xml:space="preserve">and </w:t>
      </w:r>
      <w:r w:rsidRPr="002513B4">
        <w:rPr>
          <w:lang w:val="en-US"/>
        </w:rPr>
        <w:t xml:space="preserve">a User </w:t>
      </w:r>
      <w:r w:rsidR="00A33870" w:rsidRPr="002513B4">
        <w:rPr>
          <w:lang w:val="en-US"/>
        </w:rPr>
        <w:t xml:space="preserve">Access </w:t>
      </w:r>
      <w:r w:rsidRPr="002513B4">
        <w:rPr>
          <w:lang w:val="en-US"/>
        </w:rPr>
        <w:t>console showing administrative users within the organization</w:t>
      </w:r>
      <w:r w:rsidR="00B870E4" w:rsidRPr="002513B4">
        <w:rPr>
          <w:lang w:val="en-US"/>
        </w:rPr>
        <w:t>.</w:t>
      </w:r>
    </w:p>
    <w:p w14:paraId="1CA0B003" w14:textId="57E6254B" w:rsidR="00EE74F9" w:rsidRPr="002513B4" w:rsidRDefault="00A50434" w:rsidP="00EE74F9">
      <w:pPr>
        <w:pStyle w:val="Heading4"/>
        <w:rPr>
          <w:lang w:val="en-US"/>
        </w:rPr>
      </w:pPr>
      <w:r w:rsidRPr="002513B4">
        <w:rPr>
          <w:lang w:val="en-US"/>
        </w:rPr>
        <w:t>10.2.1</w:t>
      </w:r>
      <w:r w:rsidR="00634CA6">
        <w:rPr>
          <w:lang w:val="en-US"/>
        </w:rPr>
        <w:tab/>
      </w:r>
      <w:r w:rsidR="00EE74F9" w:rsidRPr="002513B4">
        <w:rPr>
          <w:lang w:val="en-US"/>
        </w:rPr>
        <w:t>HHA Access to the Website’s Private Links</w:t>
      </w:r>
    </w:p>
    <w:p w14:paraId="5B8D1F7B" w14:textId="77777777" w:rsidR="00EE74F9" w:rsidRPr="002513B4" w:rsidRDefault="00EE74F9" w:rsidP="00EE74F9">
      <w:pPr>
        <w:pStyle w:val="BodyText"/>
        <w:rPr>
          <w:lang w:val="en-US"/>
        </w:rPr>
      </w:pPr>
      <w:r w:rsidRPr="002513B4">
        <w:rPr>
          <w:lang w:val="en-US"/>
        </w:rPr>
        <w:t xml:space="preserve">HHCAHPS Survey protocol require that HHAs designate a Survey Administrator, who will carry out protocol-required tasks on the private side of the HHCAHPS Survey website. The HHCAHPS </w:t>
      </w:r>
      <w:r w:rsidR="00241C16" w:rsidRPr="002513B4">
        <w:rPr>
          <w:lang w:val="en-US"/>
        </w:rPr>
        <w:t xml:space="preserve">Survey </w:t>
      </w:r>
      <w:r w:rsidRPr="002513B4">
        <w:rPr>
          <w:lang w:val="en-US"/>
        </w:rPr>
        <w:t>Administrator’s role and responsibilities are listed below.</w:t>
      </w:r>
    </w:p>
    <w:p w14:paraId="4FFD9AF5" w14:textId="77777777" w:rsidR="00EE74F9" w:rsidRPr="002513B4" w:rsidRDefault="00EE74F9" w:rsidP="00EE74F9">
      <w:pPr>
        <w:pStyle w:val="ListBullet"/>
      </w:pPr>
      <w:r w:rsidRPr="002513B4">
        <w:lastRenderedPageBreak/>
        <w:t>Serve as the main point of contact with the HHCAHPS Survey Coordination Team;</w:t>
      </w:r>
    </w:p>
    <w:p w14:paraId="4F2E8AB6" w14:textId="77777777" w:rsidR="00EE74F9" w:rsidRPr="002513B4" w:rsidRDefault="00EE74F9" w:rsidP="00EE74F9">
      <w:pPr>
        <w:pStyle w:val="ListBullet"/>
      </w:pPr>
      <w:r w:rsidRPr="002513B4">
        <w:t>Designate at least one other individual within the organization as the backup Administrator;</w:t>
      </w:r>
    </w:p>
    <w:p w14:paraId="478C3C90" w14:textId="77777777" w:rsidR="00EE74F9" w:rsidRPr="002513B4" w:rsidRDefault="00EE74F9" w:rsidP="00EE74F9">
      <w:pPr>
        <w:pStyle w:val="ListBullet"/>
      </w:pPr>
      <w:r w:rsidRPr="002513B4">
        <w:t>Add and manage additional administrative and non-administrator users on the Manage Users page; and</w:t>
      </w:r>
    </w:p>
    <w:p w14:paraId="69FC2EFC" w14:textId="77777777" w:rsidR="00EE74F9" w:rsidRPr="002513B4" w:rsidRDefault="00EE74F9" w:rsidP="00EE74F9">
      <w:pPr>
        <w:pStyle w:val="ListBullet"/>
      </w:pPr>
      <w:r w:rsidRPr="002513B4">
        <w:t>Authorize their contracted HHCAHPS-approved survey vendor.</w:t>
      </w:r>
    </w:p>
    <w:p w14:paraId="0AA36F1D" w14:textId="77777777" w:rsidR="00EE74F9" w:rsidRPr="002513B4" w:rsidRDefault="00EE74F9" w:rsidP="00EE74F9">
      <w:pPr>
        <w:pStyle w:val="BodyText"/>
        <w:keepNext/>
        <w:rPr>
          <w:lang w:val="en-US"/>
        </w:rPr>
      </w:pPr>
      <w:r w:rsidRPr="002513B4">
        <w:rPr>
          <w:lang w:val="en-US"/>
        </w:rPr>
        <w:t>To register for Survey Administrator credentials to access the private links, HHAs should:</w:t>
      </w:r>
    </w:p>
    <w:p w14:paraId="3AEA5EC9" w14:textId="0F1509DC" w:rsidR="00EE74F9" w:rsidRPr="002513B4" w:rsidRDefault="0081361B" w:rsidP="00EE74F9">
      <w:pPr>
        <w:pStyle w:val="ListBullet"/>
      </w:pPr>
      <w:r w:rsidRPr="002513B4">
        <w:t>Select the “Register for Login Credentials” link in the</w:t>
      </w:r>
      <w:r w:rsidR="00EE74F9" w:rsidRPr="002513B4">
        <w:t xml:space="preserve"> </w:t>
      </w:r>
      <w:r w:rsidR="00EE74F9" w:rsidRPr="002513B4">
        <w:rPr>
          <w:i/>
          <w:iCs/>
        </w:rPr>
        <w:t>For HHAs</w:t>
      </w:r>
      <w:r w:rsidR="000C0FE3" w:rsidRPr="002513B4">
        <w:rPr>
          <w:i/>
          <w:iCs/>
        </w:rPr>
        <w:t xml:space="preserve"> </w:t>
      </w:r>
      <w:r w:rsidRPr="002513B4">
        <w:t>menu</w:t>
      </w:r>
      <w:r w:rsidR="00EE74F9" w:rsidRPr="002513B4">
        <w:t xml:space="preserve"> on the </w:t>
      </w:r>
      <w:hyperlink r:id="rId130" w:history="1">
        <w:r w:rsidR="00EE74F9" w:rsidRPr="002513B4">
          <w:rPr>
            <w:rStyle w:val="Hyperlink"/>
          </w:rPr>
          <w:t>HHCAHPS Survey website</w:t>
        </w:r>
      </w:hyperlink>
      <w:r w:rsidR="001666D5" w:rsidRPr="002513B4">
        <w:t> </w:t>
      </w:r>
      <w:r w:rsidR="001666D5" w:rsidRPr="002513B4">
        <w:rPr>
          <w:noProof/>
        </w:rPr>
        <w:drawing>
          <wp:inline distT="0" distB="0" distL="0" distR="0" wp14:anchorId="3527F977" wp14:editId="599A1B14">
            <wp:extent cx="95250" cy="95250"/>
            <wp:effectExtent l="0" t="0" r="0" b="0"/>
            <wp:docPr id="164366022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EE74F9" w:rsidRPr="002513B4">
        <w:t>.</w:t>
      </w:r>
    </w:p>
    <w:p w14:paraId="4C432826" w14:textId="77777777" w:rsidR="00EE74F9" w:rsidRPr="002513B4" w:rsidRDefault="00EE74F9" w:rsidP="00EE74F9">
      <w:pPr>
        <w:pStyle w:val="ListBullet"/>
      </w:pPr>
      <w:r w:rsidRPr="002513B4">
        <w:t>Enter the contact information in the form, along with a username and password.</w:t>
      </w:r>
    </w:p>
    <w:p w14:paraId="47681F8F" w14:textId="0A895EC2" w:rsidR="00EE74F9" w:rsidRPr="002513B4" w:rsidRDefault="0081361B" w:rsidP="00EE74F9">
      <w:pPr>
        <w:pStyle w:val="ListBullet"/>
      </w:pPr>
      <w:r w:rsidRPr="002513B4">
        <w:t>Select</w:t>
      </w:r>
      <w:r w:rsidR="00EE74F9" w:rsidRPr="002513B4">
        <w:t xml:space="preserve"> “Submit</w:t>
      </w:r>
      <w:r w:rsidRPr="002513B4">
        <w:t>.</w:t>
      </w:r>
      <w:r w:rsidR="00EE74F9" w:rsidRPr="002513B4">
        <w:t>”</w:t>
      </w:r>
    </w:p>
    <w:p w14:paraId="008F7E0E" w14:textId="77777777" w:rsidR="00EE74F9" w:rsidRPr="002513B4" w:rsidRDefault="00EE74F9" w:rsidP="00EE74F9">
      <w:pPr>
        <w:pStyle w:val="BodyText"/>
        <w:rPr>
          <w:lang w:val="en-US"/>
        </w:rPr>
      </w:pPr>
      <w:r w:rsidRPr="002513B4">
        <w:rPr>
          <w:lang w:val="en-US"/>
        </w:rPr>
        <w:t xml:space="preserve">After the designated </w:t>
      </w:r>
      <w:bookmarkStart w:id="355" w:name="_Hlk499818965"/>
      <w:r w:rsidRPr="002513B4">
        <w:rPr>
          <w:lang w:val="en-US"/>
        </w:rPr>
        <w:t xml:space="preserve">Survey Administrator </w:t>
      </w:r>
      <w:bookmarkEnd w:id="355"/>
      <w:r w:rsidRPr="002513B4">
        <w:rPr>
          <w:lang w:val="en-US"/>
        </w:rPr>
        <w:t xml:space="preserve">submits the online </w:t>
      </w:r>
      <w:r w:rsidR="00ED5DB0" w:rsidRPr="002513B4">
        <w:rPr>
          <w:lang w:val="en-US"/>
        </w:rPr>
        <w:t xml:space="preserve">Register for </w:t>
      </w:r>
      <w:r w:rsidRPr="002513B4">
        <w:rPr>
          <w:lang w:val="en-US"/>
        </w:rPr>
        <w:t xml:space="preserve">Login </w:t>
      </w:r>
      <w:r w:rsidR="00ED5DB0" w:rsidRPr="002513B4">
        <w:rPr>
          <w:lang w:val="en-US"/>
        </w:rPr>
        <w:t>Credentials</w:t>
      </w:r>
      <w:r w:rsidRPr="002513B4">
        <w:rPr>
          <w:lang w:val="en-US"/>
        </w:rPr>
        <w:t xml:space="preserve"> Form, the HHCAHPS system will send a</w:t>
      </w:r>
      <w:r w:rsidR="00A156A1" w:rsidRPr="002513B4">
        <w:rPr>
          <w:lang w:val="en-US"/>
        </w:rPr>
        <w:t xml:space="preserve"> confirmatio</w:t>
      </w:r>
      <w:r w:rsidRPr="002513B4">
        <w:rPr>
          <w:lang w:val="en-US"/>
        </w:rPr>
        <w:t>n email.</w:t>
      </w:r>
    </w:p>
    <w:p w14:paraId="1BE38F0B" w14:textId="510E7AD3" w:rsidR="00EE74F9" w:rsidRPr="002513B4" w:rsidRDefault="00EE74F9" w:rsidP="00EE74F9">
      <w:pPr>
        <w:pStyle w:val="BodyText"/>
        <w:rPr>
          <w:lang w:val="en-US"/>
        </w:rPr>
      </w:pPr>
      <w:r w:rsidRPr="002513B4">
        <w:rPr>
          <w:lang w:val="en-US"/>
        </w:rPr>
        <w:t xml:space="preserve">Once a Survey Administrator has registered for user credentials, </w:t>
      </w:r>
      <w:r w:rsidR="00F46901" w:rsidRPr="002513B4">
        <w:rPr>
          <w:lang w:val="en-US"/>
        </w:rPr>
        <w:t>they then need</w:t>
      </w:r>
      <w:r w:rsidRPr="002513B4">
        <w:rPr>
          <w:lang w:val="en-US"/>
        </w:rPr>
        <w:t xml:space="preserve"> to register the CCN(s) associated with the account. To do this, the user should log in, </w:t>
      </w:r>
      <w:r w:rsidR="0081361B" w:rsidRPr="002513B4">
        <w:rPr>
          <w:lang w:val="en-US"/>
        </w:rPr>
        <w:t>select the “Register CCNs” link i</w:t>
      </w:r>
      <w:r w:rsidRPr="002513B4">
        <w:rPr>
          <w:lang w:val="en-US"/>
        </w:rPr>
        <w:t xml:space="preserve">n the “For HHAs” menu. After entering the CCN(s), the system will display a text box with </w:t>
      </w:r>
      <w:r w:rsidRPr="002513B4">
        <w:rPr>
          <w:b/>
          <w:bCs/>
          <w:lang w:val="en-US"/>
        </w:rPr>
        <w:t>Survey Administrator</w:t>
      </w:r>
      <w:r w:rsidRPr="002513B4">
        <w:rPr>
          <w:lang w:val="en-US"/>
        </w:rPr>
        <w:t xml:space="preserve"> </w:t>
      </w:r>
      <w:r w:rsidRPr="002513B4">
        <w:rPr>
          <w:b/>
          <w:lang w:val="en-US"/>
        </w:rPr>
        <w:t>Roles and Responsibilities</w:t>
      </w:r>
      <w:r w:rsidRPr="002513B4">
        <w:rPr>
          <w:lang w:val="en-US"/>
        </w:rPr>
        <w:t xml:space="preserve">, with a checkbox for the user to acknowledge that </w:t>
      </w:r>
      <w:r w:rsidR="00F46901" w:rsidRPr="002513B4">
        <w:rPr>
          <w:lang w:val="en-US"/>
        </w:rPr>
        <w:t>they accept</w:t>
      </w:r>
      <w:r w:rsidRPr="002513B4">
        <w:rPr>
          <w:lang w:val="en-US"/>
        </w:rPr>
        <w:t xml:space="preserve"> these. The user can then submit the </w:t>
      </w:r>
      <w:r w:rsidR="00ED5DB0" w:rsidRPr="002513B4">
        <w:rPr>
          <w:lang w:val="en-US"/>
        </w:rPr>
        <w:t>R</w:t>
      </w:r>
      <w:r w:rsidRPr="002513B4">
        <w:rPr>
          <w:lang w:val="en-US"/>
        </w:rPr>
        <w:t>egist</w:t>
      </w:r>
      <w:r w:rsidR="00ED5DB0" w:rsidRPr="002513B4">
        <w:rPr>
          <w:lang w:val="en-US"/>
        </w:rPr>
        <w:t>er CCNs form</w:t>
      </w:r>
      <w:r w:rsidRPr="002513B4">
        <w:rPr>
          <w:lang w:val="en-US"/>
        </w:rPr>
        <w:t xml:space="preserve">. We strongly recommend that the Survey Administrator </w:t>
      </w:r>
      <w:r w:rsidR="00ED5DB0" w:rsidRPr="002513B4">
        <w:rPr>
          <w:lang w:val="en-US"/>
        </w:rPr>
        <w:t xml:space="preserve">designate </w:t>
      </w:r>
      <w:r w:rsidRPr="002513B4">
        <w:rPr>
          <w:lang w:val="en-US"/>
        </w:rPr>
        <w:t xml:space="preserve">a </w:t>
      </w:r>
      <w:r w:rsidR="0081361B" w:rsidRPr="002513B4">
        <w:rPr>
          <w:lang w:val="en-US"/>
        </w:rPr>
        <w:t>b</w:t>
      </w:r>
      <w:r w:rsidRPr="002513B4">
        <w:rPr>
          <w:lang w:val="en-US"/>
        </w:rPr>
        <w:t xml:space="preserve">ackup </w:t>
      </w:r>
      <w:r w:rsidR="0081361B" w:rsidRPr="002513B4">
        <w:rPr>
          <w:lang w:val="en-US"/>
        </w:rPr>
        <w:t>a</w:t>
      </w:r>
      <w:r w:rsidRPr="002513B4">
        <w:rPr>
          <w:lang w:val="en-US"/>
        </w:rPr>
        <w:t xml:space="preserve">dministrator once </w:t>
      </w:r>
      <w:r w:rsidR="00F46901" w:rsidRPr="002513B4">
        <w:rPr>
          <w:lang w:val="en-US"/>
        </w:rPr>
        <w:t>they are</w:t>
      </w:r>
      <w:r w:rsidRPr="002513B4">
        <w:rPr>
          <w:lang w:val="en-US"/>
        </w:rPr>
        <w:t xml:space="preserve"> logged into the private side of the website. The backup HHCAHPS Survey Administrator will have </w:t>
      </w:r>
      <w:proofErr w:type="gramStart"/>
      <w:r w:rsidRPr="002513B4">
        <w:rPr>
          <w:lang w:val="en-US"/>
        </w:rPr>
        <w:t>all of</w:t>
      </w:r>
      <w:proofErr w:type="gramEnd"/>
      <w:r w:rsidRPr="002513B4">
        <w:rPr>
          <w:lang w:val="en-US"/>
        </w:rPr>
        <w:t xml:space="preserve"> the same permissions as the primary Administrator. Having a backup Administrator ensures continued system use if the primary Administrator is unavailable or terminates employment with the HHA. Survey Administrators can also add staff as administrative and non-administrator users. After a Survey Administrator registers an additional user, the HHCAHPS system will automatically send a credentials email to that user. </w:t>
      </w:r>
      <w:r w:rsidRPr="002513B4">
        <w:rPr>
          <w:b/>
          <w:bCs/>
          <w:i/>
          <w:iCs/>
          <w:lang w:val="en-US"/>
        </w:rPr>
        <w:t>Non-administrator users</w:t>
      </w:r>
      <w:r w:rsidRPr="002513B4">
        <w:rPr>
          <w:lang w:val="en-US"/>
        </w:rPr>
        <w:t xml:space="preserve"> will only be able to view survey reports on the private side of the website. They will not be able to carry out any of the administrative functions.</w:t>
      </w:r>
    </w:p>
    <w:p w14:paraId="03F35611" w14:textId="77777777" w:rsidR="00EE74F9" w:rsidRPr="002513B4" w:rsidRDefault="00EE74F9" w:rsidP="00EE74F9">
      <w:pPr>
        <w:pStyle w:val="BodyText"/>
        <w:rPr>
          <w:lang w:val="en-US"/>
        </w:rPr>
      </w:pPr>
      <w:r w:rsidRPr="002513B4">
        <w:rPr>
          <w:lang w:val="en-US"/>
        </w:rPr>
        <w:t xml:space="preserve">If the Survey Administrator for an HHA changes, the new Survey Administrator must contact the HHCAHPS Survey Coordination Team to have the previous Survey Administrator credentials deleted so </w:t>
      </w:r>
      <w:r w:rsidR="00F46901" w:rsidRPr="002513B4">
        <w:rPr>
          <w:lang w:val="en-US"/>
        </w:rPr>
        <w:t>they</w:t>
      </w:r>
      <w:r w:rsidRPr="002513B4">
        <w:rPr>
          <w:lang w:val="en-US"/>
        </w:rPr>
        <w:t xml:space="preserve"> can then register for log</w:t>
      </w:r>
      <w:r w:rsidR="00ED5DB0" w:rsidRPr="002513B4">
        <w:rPr>
          <w:lang w:val="en-US"/>
        </w:rPr>
        <w:t>i</w:t>
      </w:r>
      <w:r w:rsidRPr="002513B4">
        <w:rPr>
          <w:lang w:val="en-US"/>
        </w:rPr>
        <w:t>n credentials.</w:t>
      </w:r>
    </w:p>
    <w:p w14:paraId="29398A94" w14:textId="5980127D" w:rsidR="00EE74F9" w:rsidRPr="002513B4" w:rsidRDefault="00A50434" w:rsidP="00EE74F9">
      <w:pPr>
        <w:pStyle w:val="Heading3"/>
        <w:rPr>
          <w:lang w:val="en-US"/>
        </w:rPr>
      </w:pPr>
      <w:bookmarkStart w:id="356" w:name="_Toc229286043"/>
      <w:bookmarkStart w:id="357" w:name="_Toc251318183"/>
      <w:bookmarkStart w:id="358" w:name="_Toc407633110"/>
      <w:bookmarkStart w:id="359" w:name="_Toc24713387"/>
      <w:bookmarkStart w:id="360" w:name="_Toc217305617"/>
      <w:r w:rsidRPr="002513B4">
        <w:rPr>
          <w:lang w:val="en-US"/>
        </w:rPr>
        <w:t>10.3</w:t>
      </w:r>
      <w:r w:rsidRPr="002513B4">
        <w:rPr>
          <w:lang w:val="en-US"/>
        </w:rPr>
        <w:tab/>
      </w:r>
      <w:r w:rsidR="00EE74F9" w:rsidRPr="002513B4">
        <w:rPr>
          <w:lang w:val="en-US"/>
        </w:rPr>
        <w:t>HHA Survey Vendor Authorization</w:t>
      </w:r>
      <w:bookmarkEnd w:id="356"/>
      <w:bookmarkEnd w:id="357"/>
      <w:bookmarkEnd w:id="358"/>
      <w:bookmarkEnd w:id="359"/>
      <w:bookmarkEnd w:id="360"/>
    </w:p>
    <w:p w14:paraId="1F861B09" w14:textId="61BD8AAD" w:rsidR="00EE74F9" w:rsidRPr="002513B4" w:rsidRDefault="00EE74F9" w:rsidP="00EE74F9">
      <w:pPr>
        <w:pStyle w:val="BodyText"/>
        <w:rPr>
          <w:lang w:val="en-US"/>
        </w:rPr>
      </w:pPr>
      <w:r w:rsidRPr="002513B4">
        <w:rPr>
          <w:lang w:val="en-US"/>
        </w:rPr>
        <w:t xml:space="preserve">Each HHA must authorize a survey vendor on the HHCAHPS Survey website to submit data on its behalf </w:t>
      </w:r>
      <w:r w:rsidRPr="002513B4">
        <w:rPr>
          <w:b/>
          <w:i/>
          <w:iCs/>
          <w:lang w:val="en-US"/>
        </w:rPr>
        <w:t>before</w:t>
      </w:r>
      <w:r w:rsidRPr="002513B4">
        <w:rPr>
          <w:b/>
          <w:lang w:val="en-US"/>
        </w:rPr>
        <w:t xml:space="preserve"> </w:t>
      </w:r>
      <w:r w:rsidRPr="002513B4">
        <w:rPr>
          <w:lang w:val="en-US"/>
        </w:rPr>
        <w:t xml:space="preserve">the survey vendor can </w:t>
      </w:r>
      <w:r w:rsidR="001B62EA" w:rsidRPr="002513B4">
        <w:rPr>
          <w:lang w:val="en-US"/>
        </w:rPr>
        <w:t xml:space="preserve">successfully </w:t>
      </w:r>
      <w:r w:rsidRPr="002513B4">
        <w:rPr>
          <w:lang w:val="en-US"/>
        </w:rPr>
        <w:t xml:space="preserve">submit HHCAHPS Survey data for </w:t>
      </w:r>
      <w:r w:rsidRPr="002513B4">
        <w:rPr>
          <w:lang w:val="en-US"/>
        </w:rPr>
        <w:lastRenderedPageBreak/>
        <w:t>that HHA. To authorize a survey vendor, the HHA</w:t>
      </w:r>
      <w:r w:rsidR="001B62EA" w:rsidRPr="002513B4">
        <w:rPr>
          <w:lang w:val="en-US"/>
        </w:rPr>
        <w:t>’s</w:t>
      </w:r>
      <w:r w:rsidRPr="002513B4">
        <w:rPr>
          <w:lang w:val="en-US"/>
        </w:rPr>
        <w:t xml:space="preserve"> Survey Administrator must log into the website and </w:t>
      </w:r>
      <w:r w:rsidR="00240A35" w:rsidRPr="002513B4">
        <w:rPr>
          <w:lang w:val="en-US"/>
        </w:rPr>
        <w:t>select “Authorize a Vendor” in</w:t>
      </w:r>
      <w:r w:rsidRPr="002513B4">
        <w:rPr>
          <w:lang w:val="en-US"/>
        </w:rPr>
        <w:t xml:space="preserve"> the </w:t>
      </w:r>
      <w:r w:rsidRPr="002513B4">
        <w:rPr>
          <w:i/>
          <w:iCs/>
          <w:lang w:val="en-US"/>
        </w:rPr>
        <w:t>For HHAs</w:t>
      </w:r>
      <w:r w:rsidRPr="002513B4">
        <w:rPr>
          <w:lang w:val="en-US"/>
        </w:rPr>
        <w:t xml:space="preserve"> </w:t>
      </w:r>
      <w:r w:rsidR="00240A35" w:rsidRPr="002513B4">
        <w:rPr>
          <w:lang w:val="en-US"/>
        </w:rPr>
        <w:t>menu</w:t>
      </w:r>
      <w:r w:rsidRPr="002513B4">
        <w:rPr>
          <w:lang w:val="en-US"/>
        </w:rPr>
        <w:t xml:space="preserve">. </w:t>
      </w:r>
    </w:p>
    <w:p w14:paraId="76C7DA22" w14:textId="3F7DE949" w:rsidR="00EE74F9" w:rsidRPr="002513B4" w:rsidRDefault="00EE74F9" w:rsidP="00EE74F9">
      <w:pPr>
        <w:pStyle w:val="BodyText"/>
        <w:rPr>
          <w:lang w:val="en-US"/>
        </w:rPr>
      </w:pPr>
      <w:r w:rsidRPr="002513B4">
        <w:rPr>
          <w:lang w:val="en-US"/>
        </w:rPr>
        <w:t xml:space="preserve">The online </w:t>
      </w:r>
      <w:r w:rsidR="00240A35" w:rsidRPr="002513B4">
        <w:rPr>
          <w:lang w:val="en-US"/>
        </w:rPr>
        <w:t xml:space="preserve">Vendor </w:t>
      </w:r>
      <w:r w:rsidRPr="002513B4">
        <w:rPr>
          <w:lang w:val="en-US"/>
        </w:rPr>
        <w:t>Authoriz</w:t>
      </w:r>
      <w:r w:rsidR="00240A35" w:rsidRPr="002513B4">
        <w:rPr>
          <w:lang w:val="en-US"/>
        </w:rPr>
        <w:t>ation</w:t>
      </w:r>
      <w:r w:rsidRPr="002513B4">
        <w:rPr>
          <w:lang w:val="en-US"/>
        </w:rPr>
        <w:t xml:space="preserve"> form is set up to allow a Survey Administrator to authorize the vendor to submit data on behalf of multiple HHAs. If a Survey Administrator serves several HHAs</w:t>
      </w:r>
      <w:r w:rsidR="00240A35" w:rsidRPr="002513B4">
        <w:rPr>
          <w:lang w:val="en-US"/>
        </w:rPr>
        <w:t>,</w:t>
      </w:r>
      <w:r w:rsidRPr="002513B4">
        <w:rPr>
          <w:lang w:val="en-US"/>
        </w:rPr>
        <w:t xml:space="preserve"> </w:t>
      </w:r>
      <w:r w:rsidR="005157D2" w:rsidRPr="002513B4">
        <w:rPr>
          <w:lang w:val="en-US"/>
        </w:rPr>
        <w:t>they</w:t>
      </w:r>
      <w:r w:rsidRPr="002513B4">
        <w:rPr>
          <w:lang w:val="en-US"/>
        </w:rPr>
        <w:t xml:space="preserve"> will be able to view vendor authorizations for </w:t>
      </w:r>
      <w:proofErr w:type="gramStart"/>
      <w:r w:rsidRPr="002513B4">
        <w:rPr>
          <w:lang w:val="en-US"/>
        </w:rPr>
        <w:t>all of</w:t>
      </w:r>
      <w:proofErr w:type="gramEnd"/>
      <w:r w:rsidRPr="002513B4">
        <w:rPr>
          <w:lang w:val="en-US"/>
        </w:rPr>
        <w:t xml:space="preserve"> the HHAs for which </w:t>
      </w:r>
      <w:r w:rsidR="005157D2" w:rsidRPr="002513B4">
        <w:rPr>
          <w:lang w:val="en-US"/>
        </w:rPr>
        <w:t>they have</w:t>
      </w:r>
      <w:r w:rsidRPr="002513B4">
        <w:rPr>
          <w:lang w:val="en-US"/>
        </w:rPr>
        <w:t xml:space="preserve"> administrative user credentials, and </w:t>
      </w:r>
      <w:r w:rsidR="005157D2" w:rsidRPr="002513B4">
        <w:rPr>
          <w:lang w:val="en-US"/>
        </w:rPr>
        <w:t>they</w:t>
      </w:r>
      <w:r w:rsidRPr="002513B4">
        <w:rPr>
          <w:lang w:val="en-US"/>
        </w:rPr>
        <w:t xml:space="preserve"> can authorize different survey vendors for each HHAs if desired.</w:t>
      </w:r>
    </w:p>
    <w:p w14:paraId="6C0832D6" w14:textId="77777777" w:rsidR="00EE74F9" w:rsidRPr="002513B4" w:rsidRDefault="00EE74F9" w:rsidP="00EE74F9">
      <w:pPr>
        <w:pStyle w:val="BodyText"/>
        <w:rPr>
          <w:iCs/>
          <w:lang w:val="en-US"/>
        </w:rPr>
      </w:pPr>
      <w:r w:rsidRPr="002513B4">
        <w:rPr>
          <w:lang w:val="en-US"/>
        </w:rPr>
        <w:t xml:space="preserve">HHA Survey Administrators are responsible for checking their vendor authorization status periodically to ensure that the </w:t>
      </w:r>
      <w:proofErr w:type="gramStart"/>
      <w:r w:rsidRPr="002513B4">
        <w:rPr>
          <w:lang w:val="en-US"/>
        </w:rPr>
        <w:t>vendor</w:t>
      </w:r>
      <w:proofErr w:type="gramEnd"/>
      <w:r w:rsidRPr="002513B4">
        <w:rPr>
          <w:lang w:val="en-US"/>
        </w:rPr>
        <w:t xml:space="preserve"> name, Start Date, and End Date</w:t>
      </w:r>
      <w:r w:rsidR="001B62EA" w:rsidRPr="002513B4">
        <w:rPr>
          <w:lang w:val="en-US"/>
        </w:rPr>
        <w:t xml:space="preserve"> (if applicable)</w:t>
      </w:r>
      <w:r w:rsidRPr="002513B4">
        <w:rPr>
          <w:lang w:val="en-US"/>
        </w:rPr>
        <w:t xml:space="preserve"> are correct. </w:t>
      </w:r>
    </w:p>
    <w:p w14:paraId="1193344E" w14:textId="5C6B7893" w:rsidR="00EE74F9" w:rsidRPr="002513B4" w:rsidRDefault="00EE74F9" w:rsidP="00EE74F9">
      <w:pPr>
        <w:pStyle w:val="BodyText"/>
        <w:rPr>
          <w:lang w:val="en-US"/>
        </w:rPr>
      </w:pPr>
      <w:r w:rsidRPr="002513B4">
        <w:rPr>
          <w:lang w:val="en-US"/>
        </w:rPr>
        <w:t xml:space="preserve">The online </w:t>
      </w:r>
      <w:r w:rsidR="00240A35" w:rsidRPr="002513B4">
        <w:rPr>
          <w:lang w:val="en-US"/>
        </w:rPr>
        <w:t xml:space="preserve">Vendor </w:t>
      </w:r>
      <w:r w:rsidR="001B62EA" w:rsidRPr="002513B4">
        <w:rPr>
          <w:lang w:val="en-US"/>
        </w:rPr>
        <w:t>Authoriz</w:t>
      </w:r>
      <w:r w:rsidR="00240A35" w:rsidRPr="002513B4">
        <w:rPr>
          <w:lang w:val="en-US"/>
        </w:rPr>
        <w:t>ation</w:t>
      </w:r>
      <w:r w:rsidRPr="002513B4">
        <w:rPr>
          <w:lang w:val="en-US"/>
        </w:rPr>
        <w:t xml:space="preserve"> </w:t>
      </w:r>
      <w:r w:rsidR="001B62EA" w:rsidRPr="002513B4">
        <w:rPr>
          <w:lang w:val="en-US"/>
        </w:rPr>
        <w:t>f</w:t>
      </w:r>
      <w:r w:rsidRPr="002513B4">
        <w:rPr>
          <w:lang w:val="en-US"/>
        </w:rPr>
        <w:t>orm allows HHAs to perform the four functions described below. An automatic email will be sent to the HHA Survey Administrator confirming that the vendor has been authorized immediately after the authorization has been submitted.</w:t>
      </w:r>
    </w:p>
    <w:p w14:paraId="574A51DA" w14:textId="77777777" w:rsidR="00EE74F9" w:rsidRPr="002513B4" w:rsidRDefault="00EE74F9" w:rsidP="00C72A90">
      <w:pPr>
        <w:pStyle w:val="ListNumber"/>
        <w:numPr>
          <w:ilvl w:val="0"/>
          <w:numId w:val="33"/>
        </w:numPr>
        <w:spacing w:after="120"/>
        <w:ind w:left="360"/>
      </w:pPr>
      <w:r w:rsidRPr="002513B4">
        <w:rPr>
          <w:b/>
          <w:bCs/>
        </w:rPr>
        <w:t>Authorize a vendor for an HHA for which a vender has never been authorized</w:t>
      </w:r>
      <w:r w:rsidRPr="002513B4">
        <w:t xml:space="preserve">. The </w:t>
      </w:r>
      <w:r w:rsidR="001B62EA" w:rsidRPr="002513B4">
        <w:t>HHA</w:t>
      </w:r>
      <w:r w:rsidRPr="002513B4">
        <w:t xml:space="preserve"> that is just beginning to participate in the HHCAHPS Survey will need to follow the directions below to authorize its survey vendor</w:t>
      </w:r>
      <w:r w:rsidR="001B62EA" w:rsidRPr="002513B4">
        <w:t xml:space="preserve"> for the first time</w:t>
      </w:r>
      <w:r w:rsidRPr="002513B4">
        <w:t>. To authorize the vendor for one or more HHAs, the HHA should:</w:t>
      </w:r>
    </w:p>
    <w:p w14:paraId="5932F6E7" w14:textId="77777777" w:rsidR="00407FF8" w:rsidRPr="002513B4" w:rsidRDefault="00407FF8" w:rsidP="002A30ED">
      <w:pPr>
        <w:pStyle w:val="ListBullet"/>
      </w:pPr>
      <w:r w:rsidRPr="002513B4">
        <w:t>Select “Select a vendor for an HHA for the first time” from the Select Action dropdown list;</w:t>
      </w:r>
    </w:p>
    <w:p w14:paraId="1336EC8A" w14:textId="77777777" w:rsidR="00EE74F9" w:rsidRPr="002513B4" w:rsidRDefault="00EE74F9" w:rsidP="002A30ED">
      <w:pPr>
        <w:pStyle w:val="ListBullet"/>
      </w:pPr>
      <w:r w:rsidRPr="002513B4">
        <w:t>Select a vendor from the dropdown list;</w:t>
      </w:r>
    </w:p>
    <w:p w14:paraId="3D1D1DD5" w14:textId="77777777" w:rsidR="00EE74F9" w:rsidRPr="002513B4" w:rsidRDefault="00EE74F9" w:rsidP="002A30ED">
      <w:pPr>
        <w:pStyle w:val="ListBullet"/>
      </w:pPr>
      <w:r w:rsidRPr="002513B4">
        <w:t xml:space="preserve">Select the Start Date, which is the first day of the </w:t>
      </w:r>
      <w:r w:rsidR="00F05DCD" w:rsidRPr="002513B4">
        <w:t xml:space="preserve">calendar year </w:t>
      </w:r>
      <w:r w:rsidRPr="002513B4">
        <w:t>quarter for which the vendor is being authorized to submit HHCAHPS Survey data;</w:t>
      </w:r>
    </w:p>
    <w:p w14:paraId="210E5AF5" w14:textId="77777777" w:rsidR="00EE74F9" w:rsidRPr="002513B4" w:rsidRDefault="00EE74F9" w:rsidP="002A30ED">
      <w:pPr>
        <w:pStyle w:val="ListBullet"/>
      </w:pPr>
      <w:r w:rsidRPr="002513B4">
        <w:t>Select the HHA(s) (CCNs) to which the authorization applies; and</w:t>
      </w:r>
    </w:p>
    <w:p w14:paraId="3EC43608" w14:textId="0EBDADCE" w:rsidR="00EE74F9" w:rsidRPr="002513B4" w:rsidRDefault="00240A35" w:rsidP="002A30ED">
      <w:pPr>
        <w:pStyle w:val="ListBullet"/>
      </w:pPr>
      <w:r w:rsidRPr="002513B4">
        <w:t>Select</w:t>
      </w:r>
      <w:r w:rsidR="00EE74F9" w:rsidRPr="002513B4">
        <w:t xml:space="preserve"> “Submit</w:t>
      </w:r>
      <w:r w:rsidRPr="002513B4">
        <w:t>.</w:t>
      </w:r>
      <w:r w:rsidR="00EE74F9" w:rsidRPr="002513B4">
        <w:t>”</w:t>
      </w:r>
    </w:p>
    <w:tbl>
      <w:tblPr>
        <w:tblStyle w:val="TableGrid"/>
        <w:tblpPr w:leftFromText="72" w:rightFromText="72" w:vertAnchor="page" w:horzAnchor="page" w:tblpX="8626" w:tblpY="11626"/>
        <w:tblOverlap w:val="never"/>
        <w:tblW w:w="2851" w:type="dxa"/>
        <w:tblLook w:val="04A0" w:firstRow="1" w:lastRow="0" w:firstColumn="1" w:lastColumn="0" w:noHBand="0" w:noVBand="1"/>
      </w:tblPr>
      <w:tblGrid>
        <w:gridCol w:w="2851"/>
      </w:tblGrid>
      <w:tr w:rsidR="00BF3CF9" w:rsidRPr="002513B4" w14:paraId="7165C529" w14:textId="77777777" w:rsidTr="0084282E">
        <w:trPr>
          <w:cantSplit/>
          <w:tblHeader/>
        </w:trPr>
        <w:tc>
          <w:tcPr>
            <w:tcW w:w="2851" w:type="dxa"/>
            <w:shd w:val="clear" w:color="auto" w:fill="F79646"/>
          </w:tcPr>
          <w:p w14:paraId="0859A042" w14:textId="77777777" w:rsidR="00BF3CF9" w:rsidRPr="002513B4" w:rsidRDefault="00BF3CF9" w:rsidP="00BF3CF9">
            <w:pPr>
              <w:spacing w:after="120"/>
            </w:pPr>
            <w:r w:rsidRPr="002513B4">
              <w:rPr>
                <w:b/>
                <w:bCs/>
              </w:rPr>
              <w:t xml:space="preserve">IMPORTANT: </w:t>
            </w:r>
            <w:r w:rsidRPr="002513B4">
              <w:t>HHAs can change a survey vendor ONLY at the beginning of each calendar year quarter.</w:t>
            </w:r>
          </w:p>
        </w:tc>
      </w:tr>
    </w:tbl>
    <w:p w14:paraId="6849B725" w14:textId="0455B593" w:rsidR="00EE74F9" w:rsidRPr="002513B4" w:rsidRDefault="00EE74F9" w:rsidP="00A8769B">
      <w:pPr>
        <w:pStyle w:val="ListNumber"/>
        <w:numPr>
          <w:ilvl w:val="0"/>
          <w:numId w:val="33"/>
        </w:numPr>
        <w:spacing w:after="120"/>
        <w:ind w:left="360"/>
      </w:pPr>
      <w:r w:rsidRPr="002513B4">
        <w:rPr>
          <w:b/>
          <w:bCs/>
        </w:rPr>
        <w:t>Change the Start Date or End Date for the current vendor</w:t>
      </w:r>
      <w:r w:rsidRPr="002513B4">
        <w:t>. Th</w:t>
      </w:r>
      <w:r w:rsidR="00407FF8" w:rsidRPr="002513B4">
        <w:t>e “Change the start/end date for an existing vendor authorization” action</w:t>
      </w:r>
      <w:r w:rsidRPr="002513B4">
        <w:t xml:space="preserve"> allows an HHA to change the Start or End Date for an existing vendor. The system allows an HHA to change a Start Date and add or change an End Date for multiple CCNs.</w:t>
      </w:r>
      <w:r w:rsidR="00F77283" w:rsidRPr="002513B4">
        <w:t xml:space="preserve"> The HHA should: </w:t>
      </w:r>
    </w:p>
    <w:p w14:paraId="59B00561" w14:textId="77777777" w:rsidR="00F77283" w:rsidRPr="002513B4" w:rsidRDefault="00F77283" w:rsidP="00F77283">
      <w:pPr>
        <w:pStyle w:val="ListBullet"/>
      </w:pPr>
      <w:r w:rsidRPr="002513B4">
        <w:t xml:space="preserve">Select “Change the start/end date for an existing vendor authorization” from the Select Action dropdown list; </w:t>
      </w:r>
    </w:p>
    <w:p w14:paraId="50CB4BC1" w14:textId="77777777" w:rsidR="00F77283" w:rsidRPr="002513B4" w:rsidRDefault="00F77283" w:rsidP="00F77283">
      <w:pPr>
        <w:pStyle w:val="ListBullet"/>
      </w:pPr>
      <w:r w:rsidRPr="002513B4">
        <w:t>Select an End Date for the existing HHCAHPS Survey vendor, which is the last date of the calendar year quarter the vendor is authorized to submit HHCAHPS Survey data on the agency’s behalf;</w:t>
      </w:r>
    </w:p>
    <w:p w14:paraId="22260C13" w14:textId="3BFB2E82" w:rsidR="00F77283" w:rsidRPr="002513B4" w:rsidRDefault="00F77283" w:rsidP="00F77283">
      <w:pPr>
        <w:pStyle w:val="ListBullet"/>
      </w:pPr>
      <w:r w:rsidRPr="002513B4">
        <w:t>Select the HHA(s) (CCNs) to which the authorization applies; and</w:t>
      </w:r>
    </w:p>
    <w:p w14:paraId="2DE76FF7" w14:textId="2EF9A7BA" w:rsidR="00F77283" w:rsidRPr="002513B4" w:rsidRDefault="00F77283" w:rsidP="00F77283">
      <w:pPr>
        <w:pStyle w:val="ListBullet"/>
      </w:pPr>
      <w:r w:rsidRPr="002513B4">
        <w:t>Select “Submit.”</w:t>
      </w:r>
    </w:p>
    <w:p w14:paraId="6F03ED04" w14:textId="67CA0983" w:rsidR="00407FF8" w:rsidRPr="002513B4" w:rsidRDefault="00EE74F9" w:rsidP="00A8769B">
      <w:pPr>
        <w:pStyle w:val="ListNumber"/>
        <w:numPr>
          <w:ilvl w:val="0"/>
          <w:numId w:val="33"/>
        </w:numPr>
        <w:spacing w:after="120"/>
        <w:ind w:left="360"/>
      </w:pPr>
      <w:r w:rsidRPr="002513B4">
        <w:rPr>
          <w:b/>
          <w:bCs/>
        </w:rPr>
        <w:lastRenderedPageBreak/>
        <w:t>Change/switch to a different HHCAHPS vendor</w:t>
      </w:r>
      <w:r w:rsidRPr="002513B4">
        <w:t xml:space="preserve">. To change or switch to a different survey vendor, the HHA </w:t>
      </w:r>
      <w:r w:rsidR="00407FF8" w:rsidRPr="002513B4">
        <w:t>should</w:t>
      </w:r>
      <w:r w:rsidR="00F77283" w:rsidRPr="002513B4">
        <w:t xml:space="preserve"> complete action #2 above (“Change the start/end date for an existing vendor authorization” from the Select Action dropdown list) then complete the following</w:t>
      </w:r>
      <w:r w:rsidR="00407FF8" w:rsidRPr="002513B4">
        <w:t>:</w:t>
      </w:r>
    </w:p>
    <w:p w14:paraId="497FE5D5" w14:textId="77777777" w:rsidR="00407FF8" w:rsidRPr="002513B4" w:rsidRDefault="00407FF8" w:rsidP="003C3E0F">
      <w:pPr>
        <w:pStyle w:val="ListBullet"/>
      </w:pPr>
      <w:r w:rsidRPr="002513B4">
        <w:t>S</w:t>
      </w:r>
      <w:r w:rsidR="00EE74F9" w:rsidRPr="002513B4">
        <w:t xml:space="preserve">elect </w:t>
      </w:r>
      <w:r w:rsidRPr="002513B4">
        <w:t xml:space="preserve">“Change/switch to a different vendor” from the Select Action dropdown list; </w:t>
      </w:r>
    </w:p>
    <w:p w14:paraId="4AA0E968" w14:textId="77777777" w:rsidR="00407FF8" w:rsidRPr="002513B4" w:rsidRDefault="00407FF8" w:rsidP="003C3E0F">
      <w:pPr>
        <w:pStyle w:val="ListBullet"/>
      </w:pPr>
      <w:r w:rsidRPr="002513B4">
        <w:t xml:space="preserve">Select </w:t>
      </w:r>
      <w:r w:rsidR="00F05DCD" w:rsidRPr="002513B4">
        <w:t>the “new”</w:t>
      </w:r>
      <w:r w:rsidRPr="002513B4">
        <w:t xml:space="preserve"> vendor from the dropdown list;</w:t>
      </w:r>
    </w:p>
    <w:p w14:paraId="1A270A22" w14:textId="77777777" w:rsidR="00407FF8" w:rsidRPr="002513B4" w:rsidRDefault="00407FF8" w:rsidP="003C3E0F">
      <w:pPr>
        <w:pStyle w:val="ListBullet"/>
      </w:pPr>
      <w:r w:rsidRPr="002513B4">
        <w:t xml:space="preserve">Select the Start Date, which is the first day of the </w:t>
      </w:r>
      <w:r w:rsidR="00F05DCD" w:rsidRPr="002513B4">
        <w:t>calendar year</w:t>
      </w:r>
      <w:r w:rsidRPr="002513B4">
        <w:t xml:space="preserve"> quarter for which the </w:t>
      </w:r>
      <w:r w:rsidR="00F05DCD" w:rsidRPr="002513B4">
        <w:t xml:space="preserve">“new” </w:t>
      </w:r>
      <w:r w:rsidRPr="002513B4">
        <w:t>vendor is being authorized to submit HHCAHPS Survey data;</w:t>
      </w:r>
    </w:p>
    <w:p w14:paraId="66BC7B8A" w14:textId="77777777" w:rsidR="00407FF8" w:rsidRPr="002513B4" w:rsidRDefault="00407FF8" w:rsidP="003C3E0F">
      <w:pPr>
        <w:pStyle w:val="ListBullet"/>
      </w:pPr>
      <w:r w:rsidRPr="002513B4">
        <w:t>Select the HHA(s) (CCNs) to which the authorization applies; and</w:t>
      </w:r>
    </w:p>
    <w:p w14:paraId="67DC3805" w14:textId="3BA284A8" w:rsidR="00EE74F9" w:rsidRPr="002513B4" w:rsidRDefault="00F77283" w:rsidP="003C3E0F">
      <w:pPr>
        <w:pStyle w:val="ListBullet"/>
      </w:pPr>
      <w:r w:rsidRPr="002513B4">
        <w:t>Select</w:t>
      </w:r>
      <w:r w:rsidR="00407FF8" w:rsidRPr="002513B4">
        <w:t xml:space="preserve"> “Submit</w:t>
      </w:r>
      <w:r w:rsidRPr="002513B4">
        <w:t>.</w:t>
      </w:r>
      <w:r w:rsidR="00407FF8" w:rsidRPr="002513B4">
        <w:t>”</w:t>
      </w:r>
      <w:r w:rsidR="00EE74F9" w:rsidRPr="002513B4">
        <w:t xml:space="preserve"> </w:t>
      </w:r>
    </w:p>
    <w:p w14:paraId="065DFE52" w14:textId="7C5AC2EE" w:rsidR="00EE74F9" w:rsidRPr="002513B4" w:rsidRDefault="00EE74F9" w:rsidP="003113C6">
      <w:pPr>
        <w:pStyle w:val="ListNumber"/>
        <w:numPr>
          <w:ilvl w:val="0"/>
          <w:numId w:val="33"/>
        </w:numPr>
        <w:ind w:left="360"/>
      </w:pPr>
      <w:r w:rsidRPr="002513B4">
        <w:rPr>
          <w:b/>
          <w:bCs/>
        </w:rPr>
        <w:t xml:space="preserve">View </w:t>
      </w:r>
      <w:r w:rsidR="00C6230D" w:rsidRPr="002513B4">
        <w:rPr>
          <w:b/>
          <w:bCs/>
        </w:rPr>
        <w:t>c</w:t>
      </w:r>
      <w:r w:rsidRPr="002513B4">
        <w:rPr>
          <w:b/>
          <w:bCs/>
        </w:rPr>
        <w:t xml:space="preserve">urrent </w:t>
      </w:r>
      <w:r w:rsidR="0093547B" w:rsidRPr="002513B4">
        <w:rPr>
          <w:b/>
          <w:bCs/>
        </w:rPr>
        <w:t xml:space="preserve">vendor </w:t>
      </w:r>
      <w:r w:rsidRPr="002513B4">
        <w:rPr>
          <w:b/>
          <w:bCs/>
        </w:rPr>
        <w:t>authorization</w:t>
      </w:r>
      <w:r w:rsidR="0093547B" w:rsidRPr="002513B4">
        <w:rPr>
          <w:b/>
          <w:bCs/>
        </w:rPr>
        <w:t>s</w:t>
      </w:r>
      <w:r w:rsidRPr="002513B4">
        <w:t xml:space="preserve">. This </w:t>
      </w:r>
      <w:r w:rsidR="0093547B" w:rsidRPr="002513B4">
        <w:t>action</w:t>
      </w:r>
      <w:r w:rsidRPr="002513B4">
        <w:t xml:space="preserve"> allows an HHA to view its survey vendor authorization</w:t>
      </w:r>
      <w:r w:rsidR="007945BF" w:rsidRPr="002513B4">
        <w:t xml:space="preserve"> record(s)</w:t>
      </w:r>
      <w:r w:rsidRPr="002513B4">
        <w:t>, including the vendor’s name and Start Date. The End Date will also show if an HHA entered an End Date.</w:t>
      </w:r>
    </w:p>
    <w:p w14:paraId="5EF255D8" w14:textId="38B473B0" w:rsidR="00EE74F9" w:rsidRPr="002513B4" w:rsidRDefault="00A50434" w:rsidP="00EE74F9">
      <w:pPr>
        <w:pStyle w:val="Heading4"/>
        <w:rPr>
          <w:lang w:val="en-US"/>
        </w:rPr>
      </w:pPr>
      <w:r w:rsidRPr="002513B4">
        <w:rPr>
          <w:lang w:val="en-US"/>
        </w:rPr>
        <w:t>10.3.1</w:t>
      </w:r>
      <w:r w:rsidR="00A8769B" w:rsidRPr="002513B4">
        <w:rPr>
          <w:lang w:val="en-US"/>
        </w:rPr>
        <w:tab/>
      </w:r>
      <w:r w:rsidR="00EE74F9" w:rsidRPr="002513B4">
        <w:rPr>
          <w:lang w:val="en-US"/>
        </w:rPr>
        <w:t>Survey Vendor Access to the Website’s Private Links</w:t>
      </w:r>
    </w:p>
    <w:p w14:paraId="11D4394E" w14:textId="669F924D" w:rsidR="00EE74F9" w:rsidRPr="002513B4" w:rsidRDefault="00EE74F9" w:rsidP="00EE74F9">
      <w:pPr>
        <w:pStyle w:val="BodyText"/>
        <w:rPr>
          <w:lang w:val="en-US"/>
        </w:rPr>
      </w:pPr>
      <w:r w:rsidRPr="002513B4">
        <w:rPr>
          <w:lang w:val="en-US"/>
        </w:rPr>
        <w:t>Survey vendors will be given</w:t>
      </w:r>
      <w:r w:rsidR="00684F80" w:rsidRPr="002513B4">
        <w:rPr>
          <w:lang w:val="en-US"/>
        </w:rPr>
        <w:t xml:space="preserve"> full</w:t>
      </w:r>
      <w:r w:rsidRPr="002513B4">
        <w:rPr>
          <w:lang w:val="en-US"/>
        </w:rPr>
        <w:t xml:space="preserve"> access to the private sections on the HHCAHPS Survey website </w:t>
      </w:r>
      <w:r w:rsidRPr="002513B4">
        <w:rPr>
          <w:b/>
          <w:bCs/>
          <w:i/>
          <w:iCs/>
          <w:lang w:val="en-US"/>
        </w:rPr>
        <w:t>after they have been approved as an HHCAHPS Survey vendor</w:t>
      </w:r>
      <w:r w:rsidRPr="002513B4">
        <w:rPr>
          <w:lang w:val="en-US"/>
        </w:rPr>
        <w:t xml:space="preserve"> and the Coordination Team has received the vendor’s </w:t>
      </w:r>
      <w:r w:rsidR="00684F80" w:rsidRPr="002513B4">
        <w:rPr>
          <w:lang w:val="en-US"/>
        </w:rPr>
        <w:t>electronic</w:t>
      </w:r>
      <w:r w:rsidR="00DD1090" w:rsidRPr="002513B4">
        <w:rPr>
          <w:lang w:val="en-US"/>
        </w:rPr>
        <w:t xml:space="preserve"> </w:t>
      </w:r>
      <w:r w:rsidRPr="002513B4">
        <w:rPr>
          <w:lang w:val="en-US"/>
        </w:rPr>
        <w:t>Consent Form</w:t>
      </w:r>
      <w:r w:rsidR="00684F80" w:rsidRPr="002513B4">
        <w:rPr>
          <w:lang w:val="en-US"/>
        </w:rPr>
        <w:t xml:space="preserve"> and passed training certification</w:t>
      </w:r>
      <w:r w:rsidRPr="002513B4">
        <w:rPr>
          <w:lang w:val="en-US"/>
        </w:rPr>
        <w:t xml:space="preserve">. </w:t>
      </w:r>
    </w:p>
    <w:p w14:paraId="15A72627" w14:textId="67879447" w:rsidR="00EE74F9" w:rsidRPr="002513B4" w:rsidRDefault="00684F80" w:rsidP="00EE74F9">
      <w:pPr>
        <w:pStyle w:val="BodyText"/>
        <w:rPr>
          <w:lang w:val="en-US"/>
        </w:rPr>
      </w:pPr>
      <w:r w:rsidRPr="002513B4">
        <w:rPr>
          <w:lang w:val="en-US"/>
        </w:rPr>
        <w:t>The vendor</w:t>
      </w:r>
      <w:r w:rsidR="00F63246" w:rsidRPr="002513B4">
        <w:rPr>
          <w:lang w:val="en-US"/>
        </w:rPr>
        <w:t xml:space="preserve"> HHCAHPS Survey Administrator/Project Manager</w:t>
      </w:r>
      <w:r w:rsidRPr="002513B4">
        <w:rPr>
          <w:lang w:val="en-US"/>
        </w:rPr>
        <w:t xml:space="preserve">’s login credentials (i.e., username and password) will be created by the vendor user on the Vendor Registration form. </w:t>
      </w:r>
      <w:r w:rsidR="00EE74F9" w:rsidRPr="002513B4">
        <w:rPr>
          <w:lang w:val="en-US"/>
        </w:rPr>
        <w:t>We strongly recommend that a vendor’s Survey Administrator</w:t>
      </w:r>
      <w:r w:rsidR="00F63246" w:rsidRPr="002513B4">
        <w:rPr>
          <w:lang w:val="en-US"/>
        </w:rPr>
        <w:t>/Project Manager</w:t>
      </w:r>
      <w:r w:rsidR="00EE74F9" w:rsidRPr="002513B4">
        <w:rPr>
          <w:lang w:val="en-US"/>
        </w:rPr>
        <w:t xml:space="preserve"> </w:t>
      </w:r>
      <w:r w:rsidR="00DD1090" w:rsidRPr="002513B4">
        <w:rPr>
          <w:lang w:val="en-US"/>
        </w:rPr>
        <w:t xml:space="preserve">designate </w:t>
      </w:r>
      <w:r w:rsidR="00EE74F9" w:rsidRPr="002513B4">
        <w:rPr>
          <w:lang w:val="en-US"/>
        </w:rPr>
        <w:t xml:space="preserve">a Backup Administrator once </w:t>
      </w:r>
      <w:r w:rsidR="005157D2" w:rsidRPr="002513B4">
        <w:rPr>
          <w:lang w:val="en-US"/>
        </w:rPr>
        <w:t>they are</w:t>
      </w:r>
      <w:r w:rsidR="00EE74F9" w:rsidRPr="002513B4">
        <w:rPr>
          <w:lang w:val="en-US"/>
        </w:rPr>
        <w:t xml:space="preserve"> logged into the private side of the website. The backup Survey Administrator will have </w:t>
      </w:r>
      <w:proofErr w:type="gramStart"/>
      <w:r w:rsidR="00EE74F9" w:rsidRPr="002513B4">
        <w:rPr>
          <w:lang w:val="en-US"/>
        </w:rPr>
        <w:t>all of</w:t>
      </w:r>
      <w:proofErr w:type="gramEnd"/>
      <w:r w:rsidR="00EE74F9" w:rsidRPr="002513B4">
        <w:rPr>
          <w:lang w:val="en-US"/>
        </w:rPr>
        <w:t xml:space="preserve"> the same permissions as the primary Administrator. Having a backup Administrator ensures continued system use if the primary Administrator is unavailable or terminates employment with the vendor. After logging into the system, the </w:t>
      </w:r>
      <w:r w:rsidR="00F63246" w:rsidRPr="002513B4">
        <w:rPr>
          <w:lang w:val="en-US"/>
        </w:rPr>
        <w:t xml:space="preserve">primary </w:t>
      </w:r>
      <w:r w:rsidR="00EE74F9" w:rsidRPr="002513B4">
        <w:rPr>
          <w:lang w:val="en-US"/>
        </w:rPr>
        <w:t xml:space="preserve">Administrator can also add non-administrator users. </w:t>
      </w:r>
      <w:r w:rsidR="00EE74F9" w:rsidRPr="002513B4">
        <w:rPr>
          <w:b/>
          <w:bCs/>
          <w:i/>
          <w:iCs/>
          <w:lang w:val="en-US"/>
        </w:rPr>
        <w:t>Non-administrator users</w:t>
      </w:r>
      <w:r w:rsidR="00EE74F9" w:rsidRPr="002513B4">
        <w:rPr>
          <w:lang w:val="en-US"/>
        </w:rPr>
        <w:t xml:space="preserve"> will only be able to view a limited number of survey reports on the private side of the website. They will not be able to carry out any of the administrative functions. After the Survey Administrator registers an additional user, the HHCAHPS system will automatically send an email with login credentials.</w:t>
      </w:r>
    </w:p>
    <w:p w14:paraId="486F5E37" w14:textId="12C5B3B4" w:rsidR="00EE74F9" w:rsidRPr="002513B4" w:rsidRDefault="00EE74F9" w:rsidP="00EE74F9">
      <w:pPr>
        <w:pStyle w:val="BodyText"/>
        <w:rPr>
          <w:lang w:val="en-US"/>
        </w:rPr>
      </w:pPr>
      <w:r w:rsidRPr="002513B4">
        <w:rPr>
          <w:lang w:val="en-US"/>
        </w:rPr>
        <w:t>If the vendor’s Survey Administrator</w:t>
      </w:r>
      <w:r w:rsidR="00F63246" w:rsidRPr="002513B4">
        <w:rPr>
          <w:lang w:val="en-US"/>
        </w:rPr>
        <w:t>/Project Manager</w:t>
      </w:r>
      <w:r w:rsidRPr="002513B4">
        <w:rPr>
          <w:lang w:val="en-US"/>
        </w:rPr>
        <w:t xml:space="preserve"> changes, the new </w:t>
      </w:r>
      <w:r w:rsidR="00F63246" w:rsidRPr="002513B4">
        <w:rPr>
          <w:lang w:val="en-US"/>
        </w:rPr>
        <w:t>person serving in this role</w:t>
      </w:r>
      <w:r w:rsidRPr="002513B4">
        <w:rPr>
          <w:lang w:val="en-US"/>
        </w:rPr>
        <w:t xml:space="preserve"> must notify the Coordination Team.</w:t>
      </w:r>
    </w:p>
    <w:p w14:paraId="737E38B9" w14:textId="7232C836" w:rsidR="00EE74F9" w:rsidRPr="002513B4" w:rsidRDefault="00A50434" w:rsidP="00EE74F9">
      <w:pPr>
        <w:pStyle w:val="Heading3"/>
        <w:rPr>
          <w:lang w:val="en-US"/>
        </w:rPr>
      </w:pPr>
      <w:bookmarkStart w:id="361" w:name="_Toc24713388"/>
      <w:bookmarkStart w:id="362" w:name="_Toc217305618"/>
      <w:r w:rsidRPr="002513B4">
        <w:rPr>
          <w:lang w:val="en-US"/>
        </w:rPr>
        <w:t>10.4</w:t>
      </w:r>
      <w:r w:rsidRPr="002513B4">
        <w:rPr>
          <w:lang w:val="en-US"/>
        </w:rPr>
        <w:tab/>
      </w:r>
      <w:r w:rsidR="00EE74F9" w:rsidRPr="002513B4">
        <w:rPr>
          <w:lang w:val="en-US"/>
        </w:rPr>
        <w:t xml:space="preserve">Submitting HHCAHPS Survey </w:t>
      </w:r>
      <w:r w:rsidR="00D818AA" w:rsidRPr="002513B4">
        <w:rPr>
          <w:lang w:val="en-US"/>
        </w:rPr>
        <w:t xml:space="preserve">XML </w:t>
      </w:r>
      <w:r w:rsidR="00EE74F9" w:rsidRPr="002513B4">
        <w:rPr>
          <w:lang w:val="en-US"/>
        </w:rPr>
        <w:t>Data Files to the Data Center</w:t>
      </w:r>
      <w:bookmarkEnd w:id="361"/>
      <w:bookmarkEnd w:id="362"/>
    </w:p>
    <w:p w14:paraId="4C52FBC1" w14:textId="131AF0A6" w:rsidR="00EE74F9" w:rsidRPr="002513B4" w:rsidRDefault="00EE74F9" w:rsidP="00EE74F9">
      <w:pPr>
        <w:pStyle w:val="BodyText"/>
        <w:rPr>
          <w:lang w:val="en-US"/>
        </w:rPr>
      </w:pPr>
      <w:r w:rsidRPr="002513B4">
        <w:rPr>
          <w:lang w:val="en-US"/>
        </w:rPr>
        <w:t xml:space="preserve">The next several sections provide information, specifications, and procedures that survey vendors must follow to successfully submit patient survey </w:t>
      </w:r>
      <w:r w:rsidR="00D818AA" w:rsidRPr="002513B4">
        <w:rPr>
          <w:lang w:val="en-US"/>
        </w:rPr>
        <w:t xml:space="preserve">XML </w:t>
      </w:r>
      <w:r w:rsidRPr="002513B4">
        <w:rPr>
          <w:lang w:val="en-US"/>
        </w:rPr>
        <w:t xml:space="preserve">data files through the Data </w:t>
      </w:r>
      <w:r w:rsidR="0037096D" w:rsidRPr="002513B4">
        <w:rPr>
          <w:lang w:val="en-US"/>
        </w:rPr>
        <w:lastRenderedPageBreak/>
        <w:t>Submission</w:t>
      </w:r>
      <w:r w:rsidRPr="002513B4">
        <w:rPr>
          <w:lang w:val="en-US"/>
        </w:rPr>
        <w:t xml:space="preserve"> </w:t>
      </w:r>
      <w:r w:rsidR="00E23983" w:rsidRPr="002513B4">
        <w:rPr>
          <w:lang w:val="en-US"/>
        </w:rPr>
        <w:t>Tool</w:t>
      </w:r>
      <w:r w:rsidRPr="002513B4">
        <w:rPr>
          <w:lang w:val="en-US"/>
        </w:rPr>
        <w:t xml:space="preserve"> on the HHCAHPS website. Additional details about the data submission process are also provided in </w:t>
      </w:r>
      <w:r w:rsidRPr="002513B4">
        <w:rPr>
          <w:szCs w:val="24"/>
          <w:lang w:val="en-US"/>
        </w:rPr>
        <w:t xml:space="preserve">the </w:t>
      </w:r>
      <w:r w:rsidRPr="002513B4">
        <w:rPr>
          <w:i/>
          <w:iCs/>
          <w:lang w:val="en-US"/>
        </w:rPr>
        <w:t>Home Health Care CAHPS Survey Website and Data Submission Manual</w:t>
      </w:r>
      <w:r w:rsidR="001666D5" w:rsidRPr="002513B4">
        <w:rPr>
          <w:lang w:val="en-US"/>
        </w:rPr>
        <w:t xml:space="preserve"> on the </w:t>
      </w:r>
      <w:hyperlink r:id="rId131" w:history="1">
        <w:r w:rsidR="001666D5" w:rsidRPr="002513B4">
          <w:rPr>
            <w:rStyle w:val="Hyperlink"/>
            <w:lang w:val="en-US"/>
          </w:rPr>
          <w:t>Data Submission Resources web</w:t>
        </w:r>
        <w:r w:rsidR="00DB4C5C" w:rsidRPr="002513B4">
          <w:rPr>
            <w:rStyle w:val="Hyperlink"/>
            <w:lang w:val="en-US"/>
          </w:rPr>
          <w:t xml:space="preserve"> </w:t>
        </w:r>
        <w:r w:rsidR="001666D5" w:rsidRPr="002513B4">
          <w:rPr>
            <w:rStyle w:val="Hyperlink"/>
            <w:lang w:val="en-US"/>
          </w:rPr>
          <w:t>page</w:t>
        </w:r>
      </w:hyperlink>
      <w:r w:rsidR="001666D5" w:rsidRPr="002513B4">
        <w:rPr>
          <w:lang w:val="en-US"/>
        </w:rPr>
        <w:t> </w:t>
      </w:r>
      <w:r w:rsidR="001666D5" w:rsidRPr="002513B4">
        <w:rPr>
          <w:noProof/>
          <w:lang w:val="en-US"/>
        </w:rPr>
        <w:drawing>
          <wp:inline distT="0" distB="0" distL="0" distR="0" wp14:anchorId="563E3A36" wp14:editId="2C4C0ACD">
            <wp:extent cx="95250" cy="95250"/>
            <wp:effectExtent l="0" t="0" r="0" b="0"/>
            <wp:docPr id="56149553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1666D5" w:rsidRPr="002513B4">
        <w:rPr>
          <w:lang w:val="en-US"/>
        </w:rPr>
        <w:t xml:space="preserve"> of the HHCAHPS website</w:t>
      </w:r>
      <w:r w:rsidRPr="002513B4">
        <w:rPr>
          <w:lang w:val="en-US"/>
        </w:rPr>
        <w:t>.</w:t>
      </w:r>
    </w:p>
    <w:p w14:paraId="26910058" w14:textId="57169CB9" w:rsidR="00EE74F9" w:rsidRPr="002513B4" w:rsidRDefault="00A50434" w:rsidP="00EE74F9">
      <w:pPr>
        <w:pStyle w:val="Heading4"/>
        <w:rPr>
          <w:lang w:val="en-US"/>
        </w:rPr>
      </w:pPr>
      <w:r w:rsidRPr="002513B4">
        <w:rPr>
          <w:lang w:val="en-US"/>
        </w:rPr>
        <w:t>10.4.1</w:t>
      </w:r>
      <w:r w:rsidR="00A8769B" w:rsidRPr="002513B4">
        <w:rPr>
          <w:lang w:val="en-US"/>
        </w:rPr>
        <w:tab/>
      </w:r>
      <w:r w:rsidR="00EE74F9" w:rsidRPr="002513B4">
        <w:rPr>
          <w:lang w:val="en-US"/>
        </w:rPr>
        <w:t>Quarterly Data Submission Deadlines</w:t>
      </w:r>
    </w:p>
    <w:p w14:paraId="23C6F2A8" w14:textId="4A82DE40" w:rsidR="00EE74F9" w:rsidRPr="002513B4" w:rsidRDefault="00EE74F9" w:rsidP="00EE74F9">
      <w:pPr>
        <w:pStyle w:val="BodyText"/>
        <w:rPr>
          <w:i/>
          <w:iCs/>
          <w:lang w:val="en-US"/>
        </w:rPr>
      </w:pPr>
      <w:r w:rsidRPr="002513B4">
        <w:rPr>
          <w:lang w:val="en-US"/>
        </w:rPr>
        <w:t>Vendors must submit data for all three sample months in a calendar quarter by a specific data submission deadline each quarter. Survey vendors have the option of submitting a</w:t>
      </w:r>
      <w:r w:rsidR="00D818AA" w:rsidRPr="002513B4">
        <w:rPr>
          <w:lang w:val="en-US"/>
        </w:rPr>
        <w:t>n XML</w:t>
      </w:r>
      <w:r w:rsidRPr="002513B4">
        <w:rPr>
          <w:lang w:val="en-US"/>
        </w:rPr>
        <w:t xml:space="preserve"> data file to the HHCAHPS Data Center quarterly or more frequently. Because each submitted data file must pass a two-step validation process after the file is uploaded, survey vendors are strongly encouraged to submit data files well in advance of the data submission deadlines. Submitting files early gives vendors sufficient time to revise and resubmit a file </w:t>
      </w:r>
      <w:proofErr w:type="gramStart"/>
      <w:r w:rsidRPr="002513B4">
        <w:rPr>
          <w:lang w:val="en-US"/>
        </w:rPr>
        <w:t>in the event that</w:t>
      </w:r>
      <w:proofErr w:type="gramEnd"/>
      <w:r w:rsidRPr="002513B4">
        <w:rPr>
          <w:lang w:val="en-US"/>
        </w:rPr>
        <w:t xml:space="preserve"> a file fails the validation process. </w:t>
      </w:r>
      <w:r w:rsidRPr="002513B4">
        <w:rPr>
          <w:i/>
          <w:iCs/>
          <w:lang w:val="en-US"/>
        </w:rPr>
        <w:t>The data files for all months in a specific quarter for each client HHA must be successfully submitted before the submission deadline for that quarter.</w:t>
      </w:r>
    </w:p>
    <w:p w14:paraId="7C68583D" w14:textId="0B029EDA" w:rsidR="00B858C6" w:rsidRPr="002513B4" w:rsidRDefault="00B858C6" w:rsidP="00EE74F9">
      <w:pPr>
        <w:pStyle w:val="BodyText"/>
        <w:rPr>
          <w:lang w:val="en-US"/>
        </w:rPr>
      </w:pPr>
      <w:r w:rsidRPr="002513B4">
        <w:rPr>
          <w:lang w:val="en-US"/>
        </w:rPr>
        <w:t xml:space="preserve">Survey vendors can seek technical support from the HHCAHPS Survey Coordination Team (via email at </w:t>
      </w:r>
      <w:hyperlink r:id="rId132" w:history="1">
        <w:r w:rsidRPr="002513B4">
          <w:rPr>
            <w:rStyle w:val="Hyperlink"/>
            <w:lang w:val="en-US"/>
          </w:rPr>
          <w:t>hhcahps@rti.org</w:t>
        </w:r>
      </w:hyperlink>
      <w:r w:rsidRPr="002513B4">
        <w:rPr>
          <w:lang w:val="en-US"/>
        </w:rPr>
        <w:t xml:space="preserve"> or toll-free at 1-866-354-0985) leading up to the quarterly data submission deadline day until 5:00 PM (Eastern Time). </w:t>
      </w:r>
    </w:p>
    <w:p w14:paraId="2257E3D6" w14:textId="74680295" w:rsidR="00EE74F9" w:rsidRPr="002513B4" w:rsidRDefault="00A50434" w:rsidP="00EE74F9">
      <w:pPr>
        <w:pStyle w:val="Heading4"/>
        <w:rPr>
          <w:lang w:val="en-US"/>
        </w:rPr>
      </w:pPr>
      <w:r w:rsidRPr="002513B4">
        <w:rPr>
          <w:lang w:val="en-US"/>
        </w:rPr>
        <w:t>10.4.2</w:t>
      </w:r>
      <w:r w:rsidR="00A8769B" w:rsidRPr="002513B4">
        <w:rPr>
          <w:lang w:val="en-US"/>
        </w:rPr>
        <w:tab/>
      </w:r>
      <w:r w:rsidR="00EE74F9" w:rsidRPr="002513B4">
        <w:rPr>
          <w:lang w:val="en-US"/>
        </w:rPr>
        <w:t>Submitting Data for a Closed HHA</w:t>
      </w:r>
    </w:p>
    <w:p w14:paraId="20CC4330" w14:textId="0924CDB4" w:rsidR="00EE74F9" w:rsidRPr="002513B4" w:rsidRDefault="00EE74F9" w:rsidP="00EE74F9">
      <w:pPr>
        <w:pStyle w:val="BodyText"/>
        <w:rPr>
          <w:lang w:val="en-US"/>
        </w:rPr>
      </w:pPr>
      <w:r w:rsidRPr="002513B4">
        <w:rPr>
          <w:lang w:val="en-US"/>
        </w:rPr>
        <w:t xml:space="preserve">If an HHA closes or is no longer active while its HHCAHPS Survey vendor is still contracted to conduct and provide survey data on its behalf, the HHA’s vendor remains in effect for the entire authorization period. Inactive HHAs are designated with an asterisk (*) symbol on the Vendor Authorization Report. The authorized vendor must submit </w:t>
      </w:r>
      <w:proofErr w:type="gramStart"/>
      <w:r w:rsidRPr="002513B4">
        <w:rPr>
          <w:lang w:val="en-US"/>
        </w:rPr>
        <w:t>all of</w:t>
      </w:r>
      <w:proofErr w:type="gramEnd"/>
      <w:r w:rsidRPr="002513B4">
        <w:rPr>
          <w:lang w:val="en-US"/>
        </w:rPr>
        <w:t xml:space="preserve"> the HHCAHPS Survey data that were collected for the closed HHA to the HHCAHPS</w:t>
      </w:r>
      <w:r w:rsidR="00D83C98" w:rsidRPr="002513B4">
        <w:rPr>
          <w:lang w:val="en-US"/>
        </w:rPr>
        <w:t xml:space="preserve"> </w:t>
      </w:r>
      <w:r w:rsidRPr="002513B4">
        <w:rPr>
          <w:lang w:val="en-US"/>
        </w:rPr>
        <w:t>Data Center.</w:t>
      </w:r>
    </w:p>
    <w:p w14:paraId="573A55FD" w14:textId="77777777" w:rsidR="00EE74F9" w:rsidRPr="002513B4" w:rsidRDefault="00EE74F9" w:rsidP="00EE74F9">
      <w:pPr>
        <w:pStyle w:val="BodyText"/>
        <w:rPr>
          <w:lang w:val="en-US"/>
        </w:rPr>
      </w:pPr>
      <w:r w:rsidRPr="002513B4">
        <w:rPr>
          <w:lang w:val="en-US"/>
        </w:rPr>
        <w:t>If the vendor receives a data submission error indicating that it is not authorized to submit the data when attempting to upload a</w:t>
      </w:r>
      <w:r w:rsidR="00D818AA" w:rsidRPr="002513B4">
        <w:rPr>
          <w:lang w:val="en-US"/>
        </w:rPr>
        <w:t>n</w:t>
      </w:r>
      <w:r w:rsidRPr="002513B4">
        <w:rPr>
          <w:lang w:val="en-US"/>
        </w:rPr>
        <w:t xml:space="preserve"> </w:t>
      </w:r>
      <w:r w:rsidR="00D818AA" w:rsidRPr="002513B4">
        <w:rPr>
          <w:lang w:val="en-US"/>
        </w:rPr>
        <w:t xml:space="preserve">XML </w:t>
      </w:r>
      <w:r w:rsidRPr="002513B4">
        <w:rPr>
          <w:lang w:val="en-US"/>
        </w:rPr>
        <w:t xml:space="preserve">data file for an HHA that has closed, the vendor should contact the </w:t>
      </w:r>
      <w:r w:rsidR="00F2734F" w:rsidRPr="002513B4">
        <w:rPr>
          <w:lang w:val="en-US"/>
        </w:rPr>
        <w:t>HHCAHPS Survey Coordination Team</w:t>
      </w:r>
      <w:r w:rsidRPr="002513B4">
        <w:rPr>
          <w:lang w:val="en-US"/>
        </w:rPr>
        <w:t xml:space="preserve"> for assistance. The data submission deadlines for submitting HHCAHPS Survey data to the Data Center are applicable to all HHAs, even those that are no longer in business.</w:t>
      </w:r>
    </w:p>
    <w:p w14:paraId="7401A4AC" w14:textId="7F37B0EB" w:rsidR="00EE74F9" w:rsidRPr="002513B4" w:rsidRDefault="00A50434" w:rsidP="00EE74F9">
      <w:pPr>
        <w:pStyle w:val="Heading3"/>
        <w:rPr>
          <w:lang w:val="en-US"/>
        </w:rPr>
      </w:pPr>
      <w:bookmarkStart w:id="363" w:name="_Toc24713389"/>
      <w:bookmarkStart w:id="364" w:name="_Toc217305619"/>
      <w:r w:rsidRPr="002513B4">
        <w:rPr>
          <w:lang w:val="en-US"/>
        </w:rPr>
        <w:t>10.5</w:t>
      </w:r>
      <w:r w:rsidRPr="002513B4">
        <w:rPr>
          <w:lang w:val="en-US"/>
        </w:rPr>
        <w:tab/>
      </w:r>
      <w:r w:rsidR="00EE74F9" w:rsidRPr="002513B4">
        <w:rPr>
          <w:lang w:val="en-US"/>
        </w:rPr>
        <w:t xml:space="preserve">XML Data </w:t>
      </w:r>
      <w:bookmarkStart w:id="365" w:name="_Toc229286044"/>
      <w:bookmarkStart w:id="366" w:name="_Toc251318184"/>
      <w:bookmarkStart w:id="367" w:name="_Toc407633111"/>
      <w:r w:rsidR="00EE74F9" w:rsidRPr="002513B4">
        <w:rPr>
          <w:lang w:val="en-US"/>
        </w:rPr>
        <w:t>File Specifications</w:t>
      </w:r>
      <w:bookmarkEnd w:id="365"/>
      <w:bookmarkEnd w:id="366"/>
      <w:bookmarkEnd w:id="367"/>
      <w:r w:rsidR="00EE74F9" w:rsidRPr="002513B4">
        <w:rPr>
          <w:lang w:val="en-US"/>
        </w:rPr>
        <w:t xml:space="preserve"> for Data Submissions</w:t>
      </w:r>
      <w:bookmarkEnd w:id="363"/>
      <w:bookmarkEnd w:id="364"/>
    </w:p>
    <w:p w14:paraId="7E174B8C" w14:textId="7EF3E195" w:rsidR="00EE74F9" w:rsidRPr="002513B4" w:rsidRDefault="00EE74F9" w:rsidP="00EE74F9">
      <w:pPr>
        <w:pStyle w:val="BodyText"/>
        <w:rPr>
          <w:lang w:val="en-US"/>
        </w:rPr>
      </w:pPr>
      <w:r w:rsidRPr="002513B4">
        <w:rPr>
          <w:lang w:val="en-US"/>
        </w:rPr>
        <w:t xml:space="preserve">Each XML data file should contain a </w:t>
      </w:r>
      <w:r w:rsidR="00D83C98" w:rsidRPr="002513B4">
        <w:rPr>
          <w:lang w:val="en-US"/>
        </w:rPr>
        <w:t>H</w:t>
      </w:r>
      <w:r w:rsidRPr="002513B4">
        <w:rPr>
          <w:lang w:val="en-US"/>
        </w:rPr>
        <w:t xml:space="preserve">eader </w:t>
      </w:r>
      <w:r w:rsidR="00D83C98" w:rsidRPr="002513B4">
        <w:rPr>
          <w:lang w:val="en-US"/>
        </w:rPr>
        <w:t>R</w:t>
      </w:r>
      <w:r w:rsidRPr="002513B4">
        <w:rPr>
          <w:lang w:val="en-US"/>
        </w:rPr>
        <w:t xml:space="preserve">ecord, a </w:t>
      </w:r>
      <w:r w:rsidR="00D83C98" w:rsidRPr="002513B4">
        <w:rPr>
          <w:lang w:val="en-US"/>
        </w:rPr>
        <w:t>P</w:t>
      </w:r>
      <w:r w:rsidRPr="002513B4">
        <w:rPr>
          <w:lang w:val="en-US"/>
        </w:rPr>
        <w:t xml:space="preserve">atient </w:t>
      </w:r>
      <w:r w:rsidR="00D83C98" w:rsidRPr="002513B4">
        <w:rPr>
          <w:lang w:val="en-US"/>
        </w:rPr>
        <w:t>A</w:t>
      </w:r>
      <w:r w:rsidRPr="002513B4">
        <w:rPr>
          <w:lang w:val="en-US"/>
        </w:rPr>
        <w:t xml:space="preserve">dministrative </w:t>
      </w:r>
      <w:r w:rsidR="00D83C98" w:rsidRPr="002513B4">
        <w:rPr>
          <w:lang w:val="en-US"/>
        </w:rPr>
        <w:t>D</w:t>
      </w:r>
      <w:r w:rsidRPr="002513B4">
        <w:rPr>
          <w:lang w:val="en-US"/>
        </w:rPr>
        <w:t xml:space="preserve">ata </w:t>
      </w:r>
      <w:r w:rsidR="00D83C98" w:rsidRPr="002513B4">
        <w:rPr>
          <w:lang w:val="en-US"/>
        </w:rPr>
        <w:t>R</w:t>
      </w:r>
      <w:r w:rsidRPr="002513B4">
        <w:rPr>
          <w:lang w:val="en-US"/>
        </w:rPr>
        <w:t xml:space="preserve">ecord for every sampled case, and a </w:t>
      </w:r>
      <w:r w:rsidR="00D83C98" w:rsidRPr="002513B4">
        <w:rPr>
          <w:lang w:val="en-US"/>
        </w:rPr>
        <w:t>Patient R</w:t>
      </w:r>
      <w:r w:rsidRPr="002513B4">
        <w:rPr>
          <w:lang w:val="en-US"/>
        </w:rPr>
        <w:t xml:space="preserve">esponse </w:t>
      </w:r>
      <w:r w:rsidR="00D83C98" w:rsidRPr="002513B4">
        <w:rPr>
          <w:lang w:val="en-US"/>
        </w:rPr>
        <w:t>R</w:t>
      </w:r>
      <w:r w:rsidRPr="002513B4">
        <w:rPr>
          <w:lang w:val="en-US"/>
        </w:rPr>
        <w:t xml:space="preserve">ecord for every completed </w:t>
      </w:r>
      <w:r w:rsidR="00D83C98" w:rsidRPr="002513B4">
        <w:rPr>
          <w:lang w:val="en-US"/>
        </w:rPr>
        <w:t>(coded 110 or 120) or partially completed (coded 310) survey</w:t>
      </w:r>
      <w:r w:rsidRPr="002513B4">
        <w:rPr>
          <w:lang w:val="en-US"/>
        </w:rPr>
        <w:t xml:space="preserve">. Each </w:t>
      </w:r>
      <w:r w:rsidR="00D818AA" w:rsidRPr="002513B4">
        <w:rPr>
          <w:lang w:val="en-US"/>
        </w:rPr>
        <w:t>XML data file</w:t>
      </w:r>
      <w:r w:rsidRPr="002513B4">
        <w:rPr>
          <w:lang w:val="en-US"/>
        </w:rPr>
        <w:t xml:space="preserve"> should contain one sample month of survey data, by </w:t>
      </w:r>
      <w:r w:rsidR="00D83C98" w:rsidRPr="002513B4">
        <w:rPr>
          <w:lang w:val="en-US"/>
        </w:rPr>
        <w:t>CCN</w:t>
      </w:r>
      <w:r w:rsidRPr="002513B4">
        <w:rPr>
          <w:lang w:val="en-US"/>
        </w:rPr>
        <w:t xml:space="preserve">. </w:t>
      </w:r>
      <w:r w:rsidRPr="002513B4">
        <w:rPr>
          <w:b/>
          <w:i/>
          <w:lang w:val="en-US"/>
        </w:rPr>
        <w:t>Appendix </w:t>
      </w:r>
      <w:r w:rsidR="00673E2C" w:rsidRPr="002513B4">
        <w:rPr>
          <w:b/>
          <w:i/>
          <w:lang w:val="en-US"/>
        </w:rPr>
        <w:t>A</w:t>
      </w:r>
      <w:r w:rsidRPr="002513B4">
        <w:rPr>
          <w:lang w:val="en-US"/>
        </w:rPr>
        <w:t xml:space="preserve"> contains </w:t>
      </w:r>
      <w:r w:rsidR="00673E2C" w:rsidRPr="002513B4">
        <w:rPr>
          <w:lang w:val="en-US"/>
        </w:rPr>
        <w:t xml:space="preserve">a link to </w:t>
      </w:r>
      <w:r w:rsidRPr="002513B4">
        <w:rPr>
          <w:lang w:val="en-US"/>
        </w:rPr>
        <w:t>the XML data file layout for the standard header record</w:t>
      </w:r>
      <w:r w:rsidR="00673E2C" w:rsidRPr="002513B4">
        <w:rPr>
          <w:lang w:val="en-US"/>
        </w:rPr>
        <w:t xml:space="preserve"> also available on the </w:t>
      </w:r>
      <w:hyperlink r:id="rId133" w:history="1">
        <w:r w:rsidR="001666D5" w:rsidRPr="002513B4">
          <w:rPr>
            <w:rStyle w:val="Hyperlink"/>
            <w:lang w:val="en-US"/>
          </w:rPr>
          <w:t>Data Submission Resources web</w:t>
        </w:r>
        <w:r w:rsidR="00DB4C5C" w:rsidRPr="002513B4">
          <w:rPr>
            <w:rStyle w:val="Hyperlink"/>
            <w:lang w:val="en-US"/>
          </w:rPr>
          <w:t xml:space="preserve"> </w:t>
        </w:r>
        <w:r w:rsidR="001666D5" w:rsidRPr="002513B4">
          <w:rPr>
            <w:rStyle w:val="Hyperlink"/>
            <w:lang w:val="en-US"/>
          </w:rPr>
          <w:t>page</w:t>
        </w:r>
      </w:hyperlink>
      <w:r w:rsidR="001666D5" w:rsidRPr="002513B4">
        <w:rPr>
          <w:lang w:val="en-US"/>
        </w:rPr>
        <w:t> </w:t>
      </w:r>
      <w:r w:rsidR="001666D5" w:rsidRPr="002513B4">
        <w:rPr>
          <w:noProof/>
          <w:lang w:val="en-US"/>
        </w:rPr>
        <w:drawing>
          <wp:inline distT="0" distB="0" distL="0" distR="0" wp14:anchorId="23955556" wp14:editId="32F78B80">
            <wp:extent cx="95250" cy="95250"/>
            <wp:effectExtent l="0" t="0" r="0" b="0"/>
            <wp:docPr id="36457157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1666D5" w:rsidRPr="002513B4">
        <w:rPr>
          <w:lang w:val="en-US"/>
        </w:rPr>
        <w:t xml:space="preserve"> of the </w:t>
      </w:r>
      <w:r w:rsidR="00673E2C" w:rsidRPr="002513B4">
        <w:rPr>
          <w:lang w:val="en-US"/>
        </w:rPr>
        <w:t>HHCAHPS website</w:t>
      </w:r>
      <w:r w:rsidRPr="002513B4">
        <w:rPr>
          <w:lang w:val="en-US"/>
        </w:rPr>
        <w:t xml:space="preserve">; it provides the data file specifications and layout for </w:t>
      </w:r>
      <w:r w:rsidRPr="002513B4">
        <w:rPr>
          <w:lang w:val="en-US"/>
        </w:rPr>
        <w:lastRenderedPageBreak/>
        <w:t xml:space="preserve">HHCAHPS Survey </w:t>
      </w:r>
      <w:r w:rsidR="00D818AA" w:rsidRPr="002513B4">
        <w:rPr>
          <w:lang w:val="en-US"/>
        </w:rPr>
        <w:t>XML data file</w:t>
      </w:r>
      <w:r w:rsidRPr="002513B4">
        <w:rPr>
          <w:lang w:val="en-US"/>
        </w:rPr>
        <w:t xml:space="preserve">s that use simple random and proportionate stratified random sampling (PSRS). If disproportionate stratified random sampling (DSRS) is used, the vendor must use the XML data file layout for DSRS, which is </w:t>
      </w:r>
      <w:r w:rsidR="00673E2C" w:rsidRPr="002513B4">
        <w:rPr>
          <w:lang w:val="en-US"/>
        </w:rPr>
        <w:t>linked</w:t>
      </w:r>
      <w:r w:rsidRPr="002513B4">
        <w:rPr>
          <w:lang w:val="en-US"/>
        </w:rPr>
        <w:t xml:space="preserve"> in </w:t>
      </w:r>
      <w:r w:rsidRPr="002513B4">
        <w:rPr>
          <w:b/>
          <w:i/>
          <w:lang w:val="en-US"/>
        </w:rPr>
        <w:t>Appendix </w:t>
      </w:r>
      <w:r w:rsidR="00673E2C" w:rsidRPr="002513B4">
        <w:rPr>
          <w:b/>
          <w:i/>
          <w:lang w:val="en-US"/>
        </w:rPr>
        <w:t xml:space="preserve">A </w:t>
      </w:r>
      <w:r w:rsidR="00673E2C" w:rsidRPr="002513B4">
        <w:rPr>
          <w:bCs/>
          <w:iCs/>
          <w:lang w:val="en-US"/>
        </w:rPr>
        <w:t xml:space="preserve">and available on the </w:t>
      </w:r>
      <w:hyperlink r:id="rId134" w:history="1">
        <w:r w:rsidR="001666D5" w:rsidRPr="002513B4">
          <w:rPr>
            <w:rStyle w:val="Hyperlink"/>
            <w:lang w:val="en-US"/>
          </w:rPr>
          <w:t>Data Submission Resources web</w:t>
        </w:r>
        <w:r w:rsidR="00DB4C5C" w:rsidRPr="002513B4">
          <w:rPr>
            <w:rStyle w:val="Hyperlink"/>
            <w:lang w:val="en-US"/>
          </w:rPr>
          <w:t xml:space="preserve"> </w:t>
        </w:r>
        <w:r w:rsidR="001666D5" w:rsidRPr="002513B4">
          <w:rPr>
            <w:rStyle w:val="Hyperlink"/>
            <w:lang w:val="en-US"/>
          </w:rPr>
          <w:t>page</w:t>
        </w:r>
      </w:hyperlink>
      <w:r w:rsidR="001666D5" w:rsidRPr="002513B4">
        <w:rPr>
          <w:lang w:val="en-US"/>
        </w:rPr>
        <w:t> </w:t>
      </w:r>
      <w:r w:rsidR="001666D5" w:rsidRPr="002513B4">
        <w:rPr>
          <w:noProof/>
          <w:lang w:val="en-US"/>
        </w:rPr>
        <w:drawing>
          <wp:inline distT="0" distB="0" distL="0" distR="0" wp14:anchorId="4FD9B2C1" wp14:editId="6DAB8382">
            <wp:extent cx="95250" cy="95250"/>
            <wp:effectExtent l="0" t="0" r="0" b="0"/>
            <wp:docPr id="29799458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1666D5" w:rsidRPr="002513B4">
        <w:rPr>
          <w:lang w:val="en-US"/>
        </w:rPr>
        <w:t xml:space="preserve"> of the </w:t>
      </w:r>
      <w:r w:rsidR="00673E2C" w:rsidRPr="002513B4">
        <w:rPr>
          <w:bCs/>
          <w:iCs/>
          <w:lang w:val="en-US"/>
        </w:rPr>
        <w:t>HHCAHPS website</w:t>
      </w:r>
      <w:r w:rsidRPr="002513B4">
        <w:rPr>
          <w:lang w:val="en-US"/>
        </w:rPr>
        <w:t>.</w:t>
      </w:r>
    </w:p>
    <w:p w14:paraId="5EBA3DCE" w14:textId="0DF48E31" w:rsidR="00EE74F9" w:rsidRPr="002513B4" w:rsidRDefault="00EE74F9" w:rsidP="00EE74F9">
      <w:pPr>
        <w:pStyle w:val="BodyText"/>
        <w:rPr>
          <w:lang w:val="en-US"/>
        </w:rPr>
      </w:pPr>
      <w:r w:rsidRPr="002513B4">
        <w:rPr>
          <w:lang w:val="en-US"/>
        </w:rPr>
        <w:t xml:space="preserve">Vendors are also encouraged to use the </w:t>
      </w:r>
      <w:r w:rsidR="00C55136" w:rsidRPr="002513B4">
        <w:rPr>
          <w:lang w:val="en-US"/>
        </w:rPr>
        <w:t xml:space="preserve">online </w:t>
      </w:r>
      <w:r w:rsidRPr="002513B4">
        <w:rPr>
          <w:lang w:val="en-US"/>
        </w:rPr>
        <w:t>“XML Schema Validation Tool” described later in this chapter to assist them with file preparations. Survey vendors that need assistance with the</w:t>
      </w:r>
      <w:r w:rsidR="00C55136" w:rsidRPr="002513B4">
        <w:rPr>
          <w:lang w:val="en-US"/>
        </w:rPr>
        <w:t xml:space="preserve"> </w:t>
      </w:r>
      <w:r w:rsidRPr="002513B4">
        <w:rPr>
          <w:lang w:val="en-US"/>
        </w:rPr>
        <w:t xml:space="preserve">XML format should contact the </w:t>
      </w:r>
      <w:r w:rsidR="003B4835" w:rsidRPr="002513B4">
        <w:rPr>
          <w:lang w:val="en-US"/>
        </w:rPr>
        <w:t xml:space="preserve">HHCAHPS Survey </w:t>
      </w:r>
      <w:r w:rsidRPr="002513B4">
        <w:rPr>
          <w:lang w:val="en-US"/>
        </w:rPr>
        <w:t>Coordination Team.</w:t>
      </w:r>
    </w:p>
    <w:p w14:paraId="29E20318" w14:textId="60EBDAAB" w:rsidR="00EE74F9" w:rsidRPr="002513B4" w:rsidRDefault="00EE74F9" w:rsidP="00EE74F9">
      <w:pPr>
        <w:pStyle w:val="BodyText"/>
        <w:rPr>
          <w:b/>
          <w:lang w:val="en-US"/>
        </w:rPr>
      </w:pPr>
      <w:r w:rsidRPr="002513B4">
        <w:rPr>
          <w:lang w:val="en-US"/>
        </w:rPr>
        <w:t xml:space="preserve">HHAs and their survey vendor should keep in mind that an HHCAHPS Survey </w:t>
      </w:r>
      <w:r w:rsidR="00D818AA" w:rsidRPr="002513B4">
        <w:rPr>
          <w:lang w:val="en-US"/>
        </w:rPr>
        <w:t xml:space="preserve">XML </w:t>
      </w:r>
      <w:r w:rsidRPr="002513B4">
        <w:rPr>
          <w:lang w:val="en-US"/>
        </w:rPr>
        <w:t xml:space="preserve">data file must be submitted for </w:t>
      </w:r>
      <w:r w:rsidRPr="002513B4">
        <w:rPr>
          <w:b/>
          <w:bCs/>
          <w:lang w:val="en-US"/>
        </w:rPr>
        <w:t>each sample month</w:t>
      </w:r>
      <w:r w:rsidRPr="002513B4">
        <w:rPr>
          <w:lang w:val="en-US"/>
        </w:rPr>
        <w:t>, including for sample months for which there were no patients who met survey eligibility criteria. If a data file is not submitted for each sample month, the HHA will be considered as having missed a month of survey participation and may be considered noncompliant with HHCAHPS Survey participation requirements.</w:t>
      </w:r>
    </w:p>
    <w:p w14:paraId="5E9D81D7" w14:textId="0E8F3F0A" w:rsidR="00EE74F9" w:rsidRPr="002513B4" w:rsidRDefault="00EE74F9" w:rsidP="00EE74F9">
      <w:pPr>
        <w:pStyle w:val="BodyText"/>
        <w:rPr>
          <w:lang w:val="en-US"/>
        </w:rPr>
      </w:pPr>
      <w:r w:rsidRPr="002513B4">
        <w:rPr>
          <w:lang w:val="en-US"/>
        </w:rPr>
        <w:t>If a</w:t>
      </w:r>
      <w:r w:rsidR="00D818AA" w:rsidRPr="002513B4">
        <w:rPr>
          <w:lang w:val="en-US"/>
        </w:rPr>
        <w:t>n</w:t>
      </w:r>
      <w:r w:rsidRPr="002513B4">
        <w:rPr>
          <w:lang w:val="en-US"/>
        </w:rPr>
        <w:t xml:space="preserve"> </w:t>
      </w:r>
      <w:r w:rsidR="00D818AA" w:rsidRPr="002513B4">
        <w:rPr>
          <w:lang w:val="en-US"/>
        </w:rPr>
        <w:t xml:space="preserve">XML </w:t>
      </w:r>
      <w:r w:rsidRPr="002513B4">
        <w:rPr>
          <w:lang w:val="en-US"/>
        </w:rPr>
        <w:t>data file for a sample month is submitted more than once, the most recent data submission will overwrite the file previously submitted for that sample month, even if those files passed all checks. Therefore, the final file submission must contain data for all patients who were sampled in the sample month for a specific HHA.</w:t>
      </w:r>
    </w:p>
    <w:p w14:paraId="5B8AF1F1" w14:textId="77777777" w:rsidR="00EE74F9" w:rsidRPr="002513B4" w:rsidRDefault="00EE74F9" w:rsidP="00EE74F9">
      <w:pPr>
        <w:pStyle w:val="BodyText"/>
        <w:rPr>
          <w:lang w:val="en-US"/>
        </w:rPr>
      </w:pPr>
      <w:r w:rsidRPr="002513B4">
        <w:rPr>
          <w:lang w:val="en-US"/>
        </w:rPr>
        <w:t xml:space="preserve">Each of the three </w:t>
      </w:r>
      <w:r w:rsidR="00D818AA" w:rsidRPr="002513B4">
        <w:rPr>
          <w:lang w:val="en-US"/>
        </w:rPr>
        <w:t>XML data file</w:t>
      </w:r>
      <w:r w:rsidRPr="002513B4">
        <w:rPr>
          <w:lang w:val="en-US"/>
        </w:rPr>
        <w:t xml:space="preserve"> sections—the Header Record, the Patient Administrative Data Record, and the Patient Response Record—is described below.</w:t>
      </w:r>
    </w:p>
    <w:p w14:paraId="7C708669" w14:textId="461D4900" w:rsidR="00EE74F9" w:rsidRPr="002513B4" w:rsidRDefault="00A50434" w:rsidP="00EE74F9">
      <w:pPr>
        <w:pStyle w:val="Heading4"/>
        <w:rPr>
          <w:lang w:val="en-US"/>
        </w:rPr>
      </w:pPr>
      <w:r w:rsidRPr="002513B4">
        <w:rPr>
          <w:lang w:val="en-US"/>
        </w:rPr>
        <w:t>10.5.1</w:t>
      </w:r>
      <w:r w:rsidR="00275138" w:rsidRPr="002513B4">
        <w:rPr>
          <w:lang w:val="en-US"/>
        </w:rPr>
        <w:tab/>
      </w:r>
      <w:r w:rsidR="00EE74F9" w:rsidRPr="002513B4">
        <w:rPr>
          <w:lang w:val="en-US"/>
        </w:rPr>
        <w:t>Header Record</w:t>
      </w:r>
    </w:p>
    <w:p w14:paraId="03E15E83" w14:textId="77777777" w:rsidR="00EE74F9" w:rsidRPr="002513B4" w:rsidRDefault="00EE74F9" w:rsidP="00EE74F9">
      <w:pPr>
        <w:pStyle w:val="BodyText"/>
        <w:rPr>
          <w:lang w:val="en-US"/>
        </w:rPr>
      </w:pPr>
      <w:r w:rsidRPr="002513B4">
        <w:rPr>
          <w:lang w:val="en-US"/>
        </w:rPr>
        <w:t>The Header Record contains the identifying information for the HHA for which data are included on the file, sampling information, survey administration mode, and the sampling method. Information required in the Header Record is provided below.</w:t>
      </w:r>
    </w:p>
    <w:p w14:paraId="77F37E82" w14:textId="77777777" w:rsidR="009F0863" w:rsidRPr="002513B4" w:rsidRDefault="009F0863" w:rsidP="009F0863">
      <w:pPr>
        <w:pStyle w:val="ListBullet"/>
        <w:rPr>
          <w:b/>
        </w:rPr>
      </w:pPr>
      <w:r w:rsidRPr="002513B4">
        <w:rPr>
          <w:b/>
          <w:color w:val="1F497D"/>
        </w:rPr>
        <w:t>Header Type.</w:t>
      </w:r>
      <w:r w:rsidRPr="002513B4">
        <w:rPr>
          <w:color w:val="1F497D"/>
        </w:rPr>
        <w:t xml:space="preserve"> </w:t>
      </w:r>
      <w:r w:rsidRPr="002513B4">
        <w:t>This is the type of Header Record (standard or DSRS).</w:t>
      </w:r>
    </w:p>
    <w:p w14:paraId="534946E6" w14:textId="77777777" w:rsidR="009F0863" w:rsidRPr="002513B4" w:rsidRDefault="009F0863" w:rsidP="009F0863">
      <w:pPr>
        <w:pStyle w:val="ListBullet"/>
      </w:pPr>
      <w:r w:rsidRPr="002513B4">
        <w:rPr>
          <w:b/>
          <w:color w:val="1F497D"/>
        </w:rPr>
        <w:t>Provider Name</w:t>
      </w:r>
      <w:r w:rsidRPr="002513B4">
        <w:rPr>
          <w:color w:val="1F497D"/>
        </w:rPr>
        <w:t xml:space="preserve">. </w:t>
      </w:r>
      <w:r w:rsidRPr="002513B4">
        <w:t>This is the HHA’s Provider Name.</w:t>
      </w:r>
    </w:p>
    <w:p w14:paraId="3D31C131" w14:textId="77777777" w:rsidR="009F0863" w:rsidRPr="002513B4" w:rsidRDefault="009F0863" w:rsidP="009F0863">
      <w:pPr>
        <w:pStyle w:val="ListBullet"/>
      </w:pPr>
      <w:r w:rsidRPr="002513B4">
        <w:rPr>
          <w:b/>
          <w:color w:val="1F497D"/>
        </w:rPr>
        <w:t xml:space="preserve">Provider </w:t>
      </w:r>
      <w:r w:rsidR="00751675" w:rsidRPr="002513B4">
        <w:rPr>
          <w:b/>
          <w:color w:val="1F497D"/>
        </w:rPr>
        <w:t>ID</w:t>
      </w:r>
      <w:r w:rsidRPr="002513B4">
        <w:rPr>
          <w:bCs/>
          <w:color w:val="1F497D"/>
        </w:rPr>
        <w:t>.</w:t>
      </w:r>
      <w:r w:rsidRPr="002513B4">
        <w:rPr>
          <w:color w:val="1F497D"/>
        </w:rPr>
        <w:t xml:space="preserve"> </w:t>
      </w:r>
      <w:r w:rsidRPr="002513B4">
        <w:t>This is the HHA’s CCN.</w:t>
      </w:r>
    </w:p>
    <w:p w14:paraId="38CD5443" w14:textId="77777777" w:rsidR="00751675" w:rsidRPr="002513B4" w:rsidRDefault="008A529D" w:rsidP="009F0863">
      <w:pPr>
        <w:pStyle w:val="ListBullet"/>
      </w:pPr>
      <w:r w:rsidRPr="002513B4">
        <w:rPr>
          <w:b/>
          <w:color w:val="1F497D"/>
        </w:rPr>
        <w:t>National Provider Identifier (optional)</w:t>
      </w:r>
      <w:r w:rsidR="00751675" w:rsidRPr="002513B4">
        <w:rPr>
          <w:color w:val="1F497D"/>
        </w:rPr>
        <w:t xml:space="preserve">. </w:t>
      </w:r>
      <w:r w:rsidR="00751675" w:rsidRPr="002513B4">
        <w:t>This is the national provider ID number.</w:t>
      </w:r>
    </w:p>
    <w:p w14:paraId="3826518D" w14:textId="77777777" w:rsidR="00EE74F9" w:rsidRPr="002513B4" w:rsidRDefault="00EE74F9" w:rsidP="00EE74F9">
      <w:pPr>
        <w:pStyle w:val="ListBullet"/>
      </w:pPr>
      <w:r w:rsidRPr="002513B4">
        <w:rPr>
          <w:b/>
          <w:color w:val="1F497D"/>
        </w:rPr>
        <w:t>Sample Month</w:t>
      </w:r>
      <w:r w:rsidRPr="002513B4">
        <w:rPr>
          <w:color w:val="1F497D"/>
        </w:rPr>
        <w:t xml:space="preserve">. </w:t>
      </w:r>
      <w:r w:rsidR="009F0863" w:rsidRPr="002513B4">
        <w:t>This</w:t>
      </w:r>
      <w:r w:rsidRPr="002513B4">
        <w:t xml:space="preserve"> is the</w:t>
      </w:r>
      <w:r w:rsidR="009F0863" w:rsidRPr="002513B4">
        <w:t xml:space="preserve"> calendar year</w:t>
      </w:r>
      <w:r w:rsidRPr="002513B4">
        <w:t xml:space="preserve"> month for which the sample was selected.</w:t>
      </w:r>
    </w:p>
    <w:p w14:paraId="31136571" w14:textId="77777777" w:rsidR="00751675" w:rsidRPr="002513B4" w:rsidRDefault="00751675" w:rsidP="00751675">
      <w:pPr>
        <w:pStyle w:val="ListBullet"/>
      </w:pPr>
      <w:r w:rsidRPr="002513B4">
        <w:rPr>
          <w:b/>
          <w:color w:val="1F497D"/>
        </w:rPr>
        <w:t>Sample Year</w:t>
      </w:r>
      <w:r w:rsidRPr="002513B4">
        <w:rPr>
          <w:color w:val="1F497D"/>
        </w:rPr>
        <w:t xml:space="preserve">. </w:t>
      </w:r>
      <w:r w:rsidRPr="002513B4">
        <w:t>This is the calendar year in which the survey was conducted.</w:t>
      </w:r>
    </w:p>
    <w:p w14:paraId="50276403" w14:textId="77777777" w:rsidR="00EE74F9" w:rsidRPr="002513B4" w:rsidRDefault="00EE74F9" w:rsidP="00EE74F9">
      <w:pPr>
        <w:pStyle w:val="ListBullet"/>
      </w:pPr>
      <w:r w:rsidRPr="002513B4">
        <w:rPr>
          <w:b/>
          <w:color w:val="1F497D"/>
        </w:rPr>
        <w:t>Mode of Survey Administration</w:t>
      </w:r>
      <w:r w:rsidRPr="002513B4">
        <w:rPr>
          <w:color w:val="1F497D"/>
        </w:rPr>
        <w:t xml:space="preserve">. </w:t>
      </w:r>
      <w:r w:rsidRPr="002513B4">
        <w:t xml:space="preserve">The survey mode, either mail only, telephone only, or mixed mode, </w:t>
      </w:r>
      <w:r w:rsidRPr="002513B4">
        <w:rPr>
          <w:i/>
          <w:iCs/>
        </w:rPr>
        <w:t>must be the same for all sample members in each sample month in the calendar quarter for the HHA</w:t>
      </w:r>
      <w:r w:rsidRPr="002513B4">
        <w:t xml:space="preserve">. HHAs and their survey vendors cannot change survey administration modes until a new quarter begins. Also note that the survey mode indicated in the Header Record must be one of the modes that the survey vendor is approved to use. If the mode is not one of the modes for which the </w:t>
      </w:r>
      <w:r w:rsidRPr="002513B4">
        <w:lastRenderedPageBreak/>
        <w:t xml:space="preserve">vendor is approved, the Data Center will not accept the </w:t>
      </w:r>
      <w:r w:rsidR="00D818AA" w:rsidRPr="002513B4">
        <w:t xml:space="preserve">XML </w:t>
      </w:r>
      <w:r w:rsidRPr="002513B4">
        <w:t>data file when the vendor attempts to submit it.</w:t>
      </w:r>
    </w:p>
    <w:p w14:paraId="12349744" w14:textId="337D9CAC" w:rsidR="00EE74F9" w:rsidRPr="002513B4" w:rsidRDefault="00EE74F9" w:rsidP="00EE74F9">
      <w:pPr>
        <w:pStyle w:val="ListBullet"/>
      </w:pPr>
      <w:r w:rsidRPr="002513B4">
        <w:rPr>
          <w:b/>
          <w:color w:val="1F497D"/>
        </w:rPr>
        <w:t>Type of Sampling</w:t>
      </w:r>
      <w:r w:rsidR="00CA5A5A" w:rsidRPr="002513B4">
        <w:rPr>
          <w:b/>
          <w:color w:val="1F497D"/>
        </w:rPr>
        <w:t xml:space="preserve">. </w:t>
      </w:r>
      <w:r w:rsidR="00CA5A5A" w:rsidRPr="002513B4">
        <w:rPr>
          <w:bCs/>
        </w:rPr>
        <w:t>This</w:t>
      </w:r>
      <w:r w:rsidRPr="002513B4">
        <w:t xml:space="preserve"> is the sampling method that was used to select the sample—these include </w:t>
      </w:r>
      <w:r w:rsidR="00F01F22" w:rsidRPr="002513B4">
        <w:t>c</w:t>
      </w:r>
      <w:r w:rsidRPr="002513B4">
        <w:t xml:space="preserve">ensus, simple random sampling (SRS), PSRS, and DSRS. See </w:t>
      </w:r>
      <w:r w:rsidRPr="002513B4">
        <w:rPr>
          <w:b/>
          <w:i/>
        </w:rPr>
        <w:t>Chapter </w:t>
      </w:r>
      <w:r w:rsidR="00052BBA" w:rsidRPr="002513B4">
        <w:rPr>
          <w:b/>
          <w:i/>
        </w:rPr>
        <w:t>4</w:t>
      </w:r>
      <w:r w:rsidRPr="002513B4">
        <w:t xml:space="preserve"> for information about each of these methods.</w:t>
      </w:r>
    </w:p>
    <w:p w14:paraId="069BCCD2" w14:textId="77777777" w:rsidR="00EE74F9" w:rsidRPr="002513B4" w:rsidRDefault="00EE74F9" w:rsidP="00EE74F9">
      <w:pPr>
        <w:pStyle w:val="ListBullet"/>
      </w:pPr>
      <w:r w:rsidRPr="002513B4">
        <w:rPr>
          <w:b/>
          <w:color w:val="1F497D"/>
        </w:rPr>
        <w:t xml:space="preserve">Number of Patients Served. </w:t>
      </w:r>
      <w:r w:rsidRPr="002513B4">
        <w:t xml:space="preserve">This is the total number of patients who had at least one visit during the sample month for skilled care, including those eligible for the survey and those who are not (under age 18, non-Medicare and non-Medicaid patients, deceased, received hospice care, received only routine maternity care, </w:t>
      </w:r>
      <w:r w:rsidR="00F01F22" w:rsidRPr="002513B4">
        <w:t xml:space="preserve">state-regulated patients, </w:t>
      </w:r>
      <w:r w:rsidRPr="002513B4">
        <w:t>or requested that their name not be released).</w:t>
      </w:r>
    </w:p>
    <w:p w14:paraId="220D41D9" w14:textId="77777777" w:rsidR="00EE74F9" w:rsidRPr="002513B4" w:rsidRDefault="00EE74F9" w:rsidP="00EE74F9">
      <w:pPr>
        <w:pStyle w:val="ListBullet"/>
      </w:pPr>
      <w:r w:rsidRPr="002513B4">
        <w:rPr>
          <w:b/>
          <w:color w:val="1F497D"/>
        </w:rPr>
        <w:t xml:space="preserve">Number of Patients on the File Submitted by the HHA. </w:t>
      </w:r>
      <w:r w:rsidRPr="002513B4">
        <w:t xml:space="preserve">The HHA must provide the survey vendor with a list of all patients served by the HHA during the sample month whose care was paid for by either Medicare or Medicaid, with the exception of patients who are deceased, are not 18 years old or older, currently receive hospice care, received home health care for routine maternity care only, </w:t>
      </w:r>
      <w:r w:rsidR="00F01F22" w:rsidRPr="002513B4">
        <w:t xml:space="preserve">state-regulated patients, </w:t>
      </w:r>
      <w:r w:rsidRPr="002513B4">
        <w:t xml:space="preserve">or requested that the HHA not release their name to anyone outside the HHA. </w:t>
      </w:r>
      <w:r w:rsidRPr="002513B4">
        <w:rPr>
          <w:b/>
        </w:rPr>
        <w:t>If the HHA did not serve any patients during the sample month, the vendor must still submit a</w:t>
      </w:r>
      <w:r w:rsidR="00D818AA" w:rsidRPr="002513B4">
        <w:rPr>
          <w:b/>
        </w:rPr>
        <w:t>n</w:t>
      </w:r>
      <w:r w:rsidRPr="002513B4">
        <w:rPr>
          <w:b/>
        </w:rPr>
        <w:t xml:space="preserve"> </w:t>
      </w:r>
      <w:r w:rsidR="00D818AA" w:rsidRPr="002513B4">
        <w:rPr>
          <w:b/>
        </w:rPr>
        <w:t xml:space="preserve">XML </w:t>
      </w:r>
      <w:r w:rsidRPr="002513B4">
        <w:rPr>
          <w:b/>
        </w:rPr>
        <w:t>data file for that sample month</w:t>
      </w:r>
      <w:r w:rsidRPr="002513B4">
        <w:t xml:space="preserve">. </w:t>
      </w:r>
      <w:r w:rsidRPr="002513B4">
        <w:rPr>
          <w:b/>
          <w:bCs/>
        </w:rPr>
        <w:t>The HHA must</w:t>
      </w:r>
      <w:r w:rsidR="00F01F22" w:rsidRPr="002513B4">
        <w:rPr>
          <w:b/>
          <w:bCs/>
        </w:rPr>
        <w:t>,</w:t>
      </w:r>
      <w:r w:rsidRPr="002513B4">
        <w:rPr>
          <w:b/>
          <w:bCs/>
        </w:rPr>
        <w:t xml:space="preserve"> therefore</w:t>
      </w:r>
      <w:r w:rsidR="00F01F22" w:rsidRPr="002513B4">
        <w:rPr>
          <w:b/>
          <w:bCs/>
        </w:rPr>
        <w:t>,</w:t>
      </w:r>
      <w:r w:rsidRPr="002513B4">
        <w:rPr>
          <w:b/>
          <w:bCs/>
        </w:rPr>
        <w:t xml:space="preserve"> still submit a file to its vendor showing that there were 0 eligible patients</w:t>
      </w:r>
      <w:r w:rsidRPr="002513B4">
        <w:t xml:space="preserve">. If the HHA did not serve any patients during the sample month, enter zero </w:t>
      </w:r>
      <w:r w:rsidR="00F01F22" w:rsidRPr="002513B4">
        <w:t xml:space="preserve">(“0”) </w:t>
      </w:r>
      <w:r w:rsidRPr="002513B4">
        <w:t>for this data element on the data file.</w:t>
      </w:r>
    </w:p>
    <w:p w14:paraId="71A3E617" w14:textId="77777777" w:rsidR="00EE74F9" w:rsidRPr="002513B4" w:rsidRDefault="00EE74F9" w:rsidP="00EE74F9">
      <w:pPr>
        <w:pStyle w:val="ListBullet"/>
      </w:pPr>
      <w:r w:rsidRPr="002513B4">
        <w:rPr>
          <w:b/>
          <w:color w:val="1F497D"/>
        </w:rPr>
        <w:t>Number of Eligible Patients</w:t>
      </w:r>
      <w:r w:rsidR="00F01F22" w:rsidRPr="002513B4">
        <w:rPr>
          <w:b/>
          <w:color w:val="1F497D"/>
        </w:rPr>
        <w:t>.</w:t>
      </w:r>
      <w:r w:rsidR="00F01F22" w:rsidRPr="002513B4">
        <w:rPr>
          <w:color w:val="1F497D"/>
        </w:rPr>
        <w:t xml:space="preserve"> </w:t>
      </w:r>
      <w:r w:rsidR="00F01F22" w:rsidRPr="002513B4">
        <w:t>This</w:t>
      </w:r>
      <w:r w:rsidRPr="002513B4">
        <w:t xml:space="preserve"> is the number of patients </w:t>
      </w:r>
      <w:r w:rsidR="00F01F22" w:rsidRPr="002513B4">
        <w:t xml:space="preserve">in the file submitted by the HHA </w:t>
      </w:r>
      <w:r w:rsidRPr="002513B4">
        <w:t>who meet survey eligibility criteria in the sample month</w:t>
      </w:r>
      <w:r w:rsidR="00F01F22" w:rsidRPr="002513B4">
        <w:t xml:space="preserve"> as of the time the sample is selected</w:t>
      </w:r>
      <w:r w:rsidRPr="002513B4">
        <w:t>. This value can be zero only if none of the patients on the file provided by the HHA for the sample month were eligible for the survey.</w:t>
      </w:r>
      <w:r w:rsidR="00F01F22" w:rsidRPr="002513B4">
        <w:t xml:space="preserve"> The vendor should not modify this count of eligible patients based on information found during data collection (e.g., a patient is deceased).</w:t>
      </w:r>
    </w:p>
    <w:p w14:paraId="37BEEC67" w14:textId="77777777" w:rsidR="00EE74F9" w:rsidRPr="002513B4" w:rsidRDefault="00EE74F9" w:rsidP="00EE74F9">
      <w:pPr>
        <w:pStyle w:val="ListBullet"/>
      </w:pPr>
      <w:r w:rsidRPr="002513B4">
        <w:rPr>
          <w:b/>
          <w:color w:val="1F497D"/>
        </w:rPr>
        <w:t>Number of Patients Sampled</w:t>
      </w:r>
      <w:r w:rsidR="00F01F22" w:rsidRPr="002513B4">
        <w:rPr>
          <w:b/>
          <w:color w:val="1F497D"/>
        </w:rPr>
        <w:t>.</w:t>
      </w:r>
      <w:r w:rsidRPr="002513B4">
        <w:rPr>
          <w:color w:val="1F497D"/>
        </w:rPr>
        <w:t xml:space="preserve"> </w:t>
      </w:r>
      <w:r w:rsidR="00F01F22" w:rsidRPr="002513B4">
        <w:t xml:space="preserve">This </w:t>
      </w:r>
      <w:r w:rsidRPr="002513B4">
        <w:t xml:space="preserve">is the number of patients selected for the survey during the sample month. This number can be zero only if </w:t>
      </w:r>
      <w:proofErr w:type="gramStart"/>
      <w:r w:rsidRPr="002513B4">
        <w:t>all of</w:t>
      </w:r>
      <w:proofErr w:type="gramEnd"/>
      <w:r w:rsidRPr="002513B4">
        <w:t xml:space="preserve"> the patients included on the file that the HHA provided for the sample month were ineligible for the survey. If a value of zero is entered for this data element, the value for the Number of Eligible Patients data element must be zero.</w:t>
      </w:r>
    </w:p>
    <w:p w14:paraId="32800290" w14:textId="77777777" w:rsidR="002273A0" w:rsidRPr="002513B4" w:rsidRDefault="002273A0" w:rsidP="002273A0">
      <w:pPr>
        <w:pStyle w:val="BodyText"/>
        <w:rPr>
          <w:lang w:val="en-US"/>
        </w:rPr>
      </w:pPr>
      <w:r w:rsidRPr="002513B4">
        <w:rPr>
          <w:lang w:val="en-US"/>
        </w:rPr>
        <w:t>If DSRS is used, the survey vendor must include these extra data elements in the Header Record, including:</w:t>
      </w:r>
    </w:p>
    <w:p w14:paraId="73EF0B4D" w14:textId="77777777" w:rsidR="002273A0" w:rsidRPr="002513B4" w:rsidRDefault="002273A0" w:rsidP="003C3E0F">
      <w:pPr>
        <w:pStyle w:val="ListBullet"/>
      </w:pPr>
      <w:r w:rsidRPr="002513B4">
        <w:rPr>
          <w:b/>
          <w:color w:val="1F497D"/>
        </w:rPr>
        <w:t>DSRS Stratum Name</w:t>
      </w:r>
      <w:r w:rsidRPr="002513B4">
        <w:rPr>
          <w:color w:val="1F497D"/>
        </w:rPr>
        <w:t xml:space="preserve"> </w:t>
      </w:r>
      <w:r w:rsidRPr="002513B4">
        <w:t>(note that there must be at least two strata identified for DSRS sampling).</w:t>
      </w:r>
    </w:p>
    <w:p w14:paraId="349183A2" w14:textId="77777777" w:rsidR="002273A0" w:rsidRPr="002513B4" w:rsidRDefault="002273A0" w:rsidP="003C3E0F">
      <w:pPr>
        <w:pStyle w:val="ListBullet"/>
      </w:pPr>
      <w:r w:rsidRPr="002513B4">
        <w:rPr>
          <w:b/>
          <w:color w:val="1F497D"/>
        </w:rPr>
        <w:t>DSRS Number of Patients on file submitted to vendor</w:t>
      </w:r>
      <w:r w:rsidRPr="002513B4">
        <w:rPr>
          <w:bCs/>
        </w:rPr>
        <w:t>, which</w:t>
      </w:r>
      <w:r w:rsidRPr="002513B4">
        <w:t xml:space="preserve"> is the number of patient records included on the file that </w:t>
      </w:r>
      <w:proofErr w:type="gramStart"/>
      <w:r w:rsidRPr="002513B4">
        <w:t>all of</w:t>
      </w:r>
      <w:proofErr w:type="gramEnd"/>
      <w:r w:rsidRPr="002513B4">
        <w:t xml:space="preserve"> the HHA locations that share a CCN provided for this stratum.</w:t>
      </w:r>
    </w:p>
    <w:p w14:paraId="4D739EAA" w14:textId="77777777" w:rsidR="002273A0" w:rsidRPr="002513B4" w:rsidRDefault="002273A0" w:rsidP="003C3E0F">
      <w:pPr>
        <w:pStyle w:val="ListBullet"/>
      </w:pPr>
      <w:r w:rsidRPr="002513B4">
        <w:rPr>
          <w:b/>
          <w:color w:val="1F497D"/>
        </w:rPr>
        <w:lastRenderedPageBreak/>
        <w:t>DSRS Number of Patients eligible in stratum</w:t>
      </w:r>
      <w:r w:rsidRPr="002513B4">
        <w:rPr>
          <w:color w:val="1F497D"/>
        </w:rPr>
        <w:t xml:space="preserve">, </w:t>
      </w:r>
      <w:r w:rsidRPr="002513B4">
        <w:t>which is the number of patients who meet survey eligibility criteria within each stratum.</w:t>
      </w:r>
    </w:p>
    <w:p w14:paraId="679ABE2A" w14:textId="77777777" w:rsidR="002273A0" w:rsidRPr="002513B4" w:rsidRDefault="002273A0" w:rsidP="003C3E0F">
      <w:pPr>
        <w:pStyle w:val="ListBullet"/>
      </w:pPr>
      <w:r w:rsidRPr="002513B4">
        <w:rPr>
          <w:b/>
          <w:color w:val="1F497D"/>
        </w:rPr>
        <w:t>DSRS Number of Patients sampled in stratum</w:t>
      </w:r>
      <w:r w:rsidRPr="002513B4">
        <w:rPr>
          <w:color w:val="1F497D"/>
        </w:rPr>
        <w:t xml:space="preserve">, </w:t>
      </w:r>
      <w:r w:rsidRPr="002513B4">
        <w:t>which is the number of patients sampled within the stratum.</w:t>
      </w:r>
    </w:p>
    <w:p w14:paraId="367E4C5E" w14:textId="2AE24357" w:rsidR="00EE74F9" w:rsidRPr="002513B4" w:rsidRDefault="002273A0" w:rsidP="002273A0">
      <w:pPr>
        <w:pStyle w:val="BodyText"/>
        <w:rPr>
          <w:szCs w:val="24"/>
          <w:lang w:val="en-US"/>
        </w:rPr>
      </w:pPr>
      <w:r w:rsidRPr="002513B4">
        <w:rPr>
          <w:lang w:val="en-US"/>
        </w:rPr>
        <w:t xml:space="preserve">Please remember that approved HHCAHPS vendors must submit an Exceptions Request Form and receive CMS approval prior to conducting DSRS sampling (see </w:t>
      </w:r>
      <w:r w:rsidR="00DE2FFD" w:rsidRPr="002513B4">
        <w:rPr>
          <w:b/>
          <w:i/>
          <w:lang w:val="en-US"/>
        </w:rPr>
        <w:t>Section 14.2</w:t>
      </w:r>
      <w:r w:rsidRPr="002513B4">
        <w:rPr>
          <w:lang w:val="en-US"/>
        </w:rPr>
        <w:t xml:space="preserve"> for more information about the Exceptions Request Form). More information about DSRS and requirements for DSRS sample selection and file construction is provided in </w:t>
      </w:r>
      <w:r w:rsidRPr="002513B4">
        <w:rPr>
          <w:b/>
          <w:i/>
          <w:lang w:val="en-US"/>
        </w:rPr>
        <w:t xml:space="preserve">Chapter </w:t>
      </w:r>
      <w:r w:rsidR="00052BBA" w:rsidRPr="002513B4">
        <w:rPr>
          <w:b/>
          <w:i/>
          <w:lang w:val="en-US"/>
        </w:rPr>
        <w:t>4</w:t>
      </w:r>
      <w:r w:rsidRPr="002513B4">
        <w:rPr>
          <w:lang w:val="en-US"/>
        </w:rPr>
        <w:t>.</w:t>
      </w:r>
    </w:p>
    <w:p w14:paraId="26447656" w14:textId="4FBAA4AD" w:rsidR="00EE74F9" w:rsidRPr="002513B4" w:rsidRDefault="00A50434" w:rsidP="00EE74F9">
      <w:pPr>
        <w:pStyle w:val="Heading4"/>
        <w:rPr>
          <w:lang w:val="en-US"/>
        </w:rPr>
      </w:pPr>
      <w:r w:rsidRPr="002513B4">
        <w:rPr>
          <w:lang w:val="en-US"/>
        </w:rPr>
        <w:t>10.5.2</w:t>
      </w:r>
      <w:r w:rsidR="00EE2FBB" w:rsidRPr="002513B4">
        <w:rPr>
          <w:lang w:val="en-US"/>
        </w:rPr>
        <w:tab/>
      </w:r>
      <w:r w:rsidR="00EE74F9" w:rsidRPr="002513B4">
        <w:rPr>
          <w:lang w:val="en-US"/>
        </w:rPr>
        <w:t>Patient Administrative Data Record</w:t>
      </w:r>
    </w:p>
    <w:p w14:paraId="2B7C7FF5" w14:textId="453E20E5" w:rsidR="00EE74F9" w:rsidRPr="002513B4" w:rsidRDefault="00EE74F9" w:rsidP="00EE74F9">
      <w:pPr>
        <w:pStyle w:val="BodyText"/>
        <w:rPr>
          <w:lang w:val="en-US"/>
        </w:rPr>
      </w:pPr>
      <w:r w:rsidRPr="002513B4">
        <w:rPr>
          <w:lang w:val="en-US"/>
        </w:rPr>
        <w:t xml:space="preserve">The second </w:t>
      </w:r>
      <w:r w:rsidR="00EB0710" w:rsidRPr="002513B4">
        <w:rPr>
          <w:lang w:val="en-US"/>
        </w:rPr>
        <w:t xml:space="preserve">section </w:t>
      </w:r>
      <w:r w:rsidRPr="002513B4">
        <w:rPr>
          <w:lang w:val="en-US"/>
        </w:rPr>
        <w:t xml:space="preserve">of the </w:t>
      </w:r>
      <w:r w:rsidR="00D818AA" w:rsidRPr="002513B4">
        <w:rPr>
          <w:lang w:val="en-US"/>
        </w:rPr>
        <w:t>XML data file</w:t>
      </w:r>
      <w:r w:rsidRPr="002513B4">
        <w:rPr>
          <w:lang w:val="en-US"/>
        </w:rPr>
        <w:t xml:space="preserve"> contains </w:t>
      </w:r>
      <w:r w:rsidRPr="002513B4">
        <w:rPr>
          <w:b/>
          <w:bCs/>
          <w:lang w:val="en-US"/>
        </w:rPr>
        <w:t>data about each patient</w:t>
      </w:r>
      <w:r w:rsidRPr="002513B4">
        <w:rPr>
          <w:lang w:val="en-US"/>
        </w:rPr>
        <w:t xml:space="preserve"> who was sampled for the sample month, including those who responded to the survey and nonrespondents. In this section of the file, some of the information provided in the Header Record is repeated, including the HHA’s CCN and the Sample Year and Sample Month. All other information included in this section of the file is about the patients included in the sample. </w:t>
      </w:r>
      <w:r w:rsidRPr="002513B4">
        <w:rPr>
          <w:b/>
          <w:i/>
          <w:iCs/>
          <w:lang w:val="en-US"/>
        </w:rPr>
        <w:t>There must be a Patient Administrative Data Record for every patient sampled in the sample month</w:t>
      </w:r>
      <w:r w:rsidRPr="002513B4">
        <w:rPr>
          <w:i/>
          <w:iCs/>
          <w:lang w:val="en-US"/>
        </w:rPr>
        <w:t xml:space="preserve">. </w:t>
      </w:r>
      <w:r w:rsidRPr="002513B4">
        <w:rPr>
          <w:lang w:val="en-US"/>
        </w:rPr>
        <w:t>The sample identification (SID) number assigned to each sample member must be included.</w:t>
      </w:r>
      <w:r w:rsidRPr="002513B4">
        <w:rPr>
          <w:i/>
          <w:iCs/>
          <w:lang w:val="en-US"/>
        </w:rPr>
        <w:t xml:space="preserve"> Only de-identified data will be submitted to the HHCAHPS Data Center; however, the unique SID number that the survey vendor assigned to the sample member must be included on the file. </w:t>
      </w:r>
      <w:r w:rsidRPr="002513B4">
        <w:rPr>
          <w:lang w:val="en-US"/>
        </w:rPr>
        <w:t xml:space="preserve">Files submitted with missing </w:t>
      </w:r>
      <w:r w:rsidR="00EB0710" w:rsidRPr="002513B4">
        <w:rPr>
          <w:lang w:val="en-US"/>
        </w:rPr>
        <w:t xml:space="preserve">or </w:t>
      </w:r>
      <w:r w:rsidRPr="002513B4">
        <w:rPr>
          <w:lang w:val="en-US"/>
        </w:rPr>
        <w:t>duplicate SID numbers will be rejected.</w:t>
      </w:r>
    </w:p>
    <w:p w14:paraId="6245B51D" w14:textId="6D22191F" w:rsidR="00EB0710" w:rsidRPr="002513B4" w:rsidRDefault="00EE74F9" w:rsidP="00EE74F9">
      <w:pPr>
        <w:pStyle w:val="BodyText"/>
        <w:rPr>
          <w:lang w:val="en-US"/>
        </w:rPr>
      </w:pPr>
      <w:r w:rsidRPr="002513B4">
        <w:rPr>
          <w:lang w:val="en-US"/>
        </w:rPr>
        <w:t>Most of the information required in the Patient Administrative Data Record is provided by</w:t>
      </w:r>
      <w:r w:rsidR="00EB0710" w:rsidRPr="002513B4">
        <w:rPr>
          <w:lang w:val="en-US"/>
        </w:rPr>
        <w:t>, or derived from, information</w:t>
      </w:r>
      <w:r w:rsidRPr="002513B4">
        <w:rPr>
          <w:lang w:val="en-US"/>
        </w:rPr>
        <w:t xml:space="preserve"> the HHA </w:t>
      </w:r>
      <w:r w:rsidR="00EB0710" w:rsidRPr="002513B4">
        <w:rPr>
          <w:lang w:val="en-US"/>
        </w:rPr>
        <w:t xml:space="preserve">submits </w:t>
      </w:r>
      <w:r w:rsidRPr="002513B4">
        <w:rPr>
          <w:lang w:val="en-US"/>
        </w:rPr>
        <w:t xml:space="preserve">on the monthly patient information file. </w:t>
      </w:r>
      <w:r w:rsidR="00EB0710" w:rsidRPr="002513B4">
        <w:rPr>
          <w:lang w:val="en-US"/>
        </w:rPr>
        <w:t xml:space="preserve">The Patient Administrative Data Record will include the following data elements </w:t>
      </w:r>
      <w:r w:rsidR="00EB0710" w:rsidRPr="002513B4">
        <w:rPr>
          <w:i/>
          <w:lang w:val="en-US"/>
        </w:rPr>
        <w:t>for each sampled patient</w:t>
      </w:r>
      <w:r w:rsidR="00EB0710" w:rsidRPr="002513B4">
        <w:rPr>
          <w:lang w:val="en-US"/>
        </w:rPr>
        <w:t xml:space="preserve">. See </w:t>
      </w:r>
      <w:r w:rsidR="00AF0253" w:rsidRPr="002513B4">
        <w:rPr>
          <w:lang w:val="en-US"/>
        </w:rPr>
        <w:t xml:space="preserve">the standard XML data file layout (available on the </w:t>
      </w:r>
      <w:hyperlink r:id="rId135" w:history="1">
        <w:r w:rsidR="001666D5" w:rsidRPr="002513B4">
          <w:rPr>
            <w:rStyle w:val="Hyperlink"/>
            <w:lang w:val="en-US"/>
          </w:rPr>
          <w:t>Data Submission Resources web</w:t>
        </w:r>
        <w:r w:rsidR="00DB4C5C" w:rsidRPr="002513B4">
          <w:rPr>
            <w:rStyle w:val="Hyperlink"/>
            <w:lang w:val="en-US"/>
          </w:rPr>
          <w:t xml:space="preserve"> </w:t>
        </w:r>
        <w:r w:rsidR="001666D5" w:rsidRPr="002513B4">
          <w:rPr>
            <w:rStyle w:val="Hyperlink"/>
            <w:lang w:val="en-US"/>
          </w:rPr>
          <w:t>page</w:t>
        </w:r>
      </w:hyperlink>
      <w:r w:rsidR="001666D5" w:rsidRPr="002513B4">
        <w:rPr>
          <w:lang w:val="en-US"/>
        </w:rPr>
        <w:t> </w:t>
      </w:r>
      <w:r w:rsidR="001666D5" w:rsidRPr="002513B4">
        <w:rPr>
          <w:noProof/>
          <w:lang w:val="en-US"/>
        </w:rPr>
        <w:drawing>
          <wp:inline distT="0" distB="0" distL="0" distR="0" wp14:anchorId="66250181" wp14:editId="15872B54">
            <wp:extent cx="95250" cy="95250"/>
            <wp:effectExtent l="0" t="0" r="0" b="0"/>
            <wp:docPr id="1794672777"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666D5" w:rsidRPr="002513B4">
        <w:rPr>
          <w:lang w:val="en-US"/>
        </w:rPr>
        <w:t xml:space="preserve"> of the </w:t>
      </w:r>
      <w:r w:rsidR="00AF0253" w:rsidRPr="002513B4">
        <w:rPr>
          <w:lang w:val="en-US"/>
        </w:rPr>
        <w:t xml:space="preserve">HHCAHPS website and linked in </w:t>
      </w:r>
      <w:r w:rsidR="00EB0710" w:rsidRPr="002513B4">
        <w:rPr>
          <w:b/>
          <w:i/>
          <w:lang w:val="en-US"/>
        </w:rPr>
        <w:t>Appendix </w:t>
      </w:r>
      <w:r w:rsidR="00AF0253" w:rsidRPr="002513B4">
        <w:rPr>
          <w:b/>
          <w:i/>
          <w:lang w:val="en-US"/>
        </w:rPr>
        <w:t>A</w:t>
      </w:r>
      <w:r w:rsidR="00AF0253" w:rsidRPr="002513B4">
        <w:rPr>
          <w:bCs/>
          <w:iCs/>
          <w:lang w:val="en-US"/>
        </w:rPr>
        <w:t>)</w:t>
      </w:r>
      <w:r w:rsidR="00EB0710" w:rsidRPr="002513B4">
        <w:rPr>
          <w:lang w:val="en-US"/>
        </w:rPr>
        <w:t xml:space="preserve"> for instructions and coding specifications for each element.</w:t>
      </w:r>
    </w:p>
    <w:p w14:paraId="274214F2" w14:textId="77777777" w:rsidR="00EB0710" w:rsidRPr="002513B4" w:rsidRDefault="00EB0710" w:rsidP="00EB0710">
      <w:pPr>
        <w:pStyle w:val="ListBullet"/>
      </w:pPr>
      <w:r w:rsidRPr="002513B4">
        <w:rPr>
          <w:b/>
          <w:color w:val="1F497D"/>
        </w:rPr>
        <w:t xml:space="preserve">Provider </w:t>
      </w:r>
      <w:r w:rsidR="00751675" w:rsidRPr="002513B4">
        <w:rPr>
          <w:b/>
          <w:color w:val="1F497D"/>
        </w:rPr>
        <w:t>ID</w:t>
      </w:r>
      <w:r w:rsidRPr="002513B4">
        <w:rPr>
          <w:b/>
          <w:color w:val="1F497D"/>
        </w:rPr>
        <w:t>.</w:t>
      </w:r>
      <w:r w:rsidRPr="002513B4">
        <w:rPr>
          <w:color w:val="1F497D"/>
        </w:rPr>
        <w:t xml:space="preserve"> </w:t>
      </w:r>
      <w:r w:rsidRPr="002513B4">
        <w:t>This is the HHA’s CCN.</w:t>
      </w:r>
    </w:p>
    <w:p w14:paraId="2D2A419C" w14:textId="77777777" w:rsidR="00EB0710" w:rsidRPr="002513B4" w:rsidRDefault="00EB0710" w:rsidP="00EB0710">
      <w:pPr>
        <w:pStyle w:val="ListBullet"/>
      </w:pPr>
      <w:r w:rsidRPr="002513B4">
        <w:rPr>
          <w:b/>
          <w:color w:val="1F497D"/>
        </w:rPr>
        <w:t>National Provider Identifier (optional).</w:t>
      </w:r>
      <w:r w:rsidRPr="002513B4">
        <w:rPr>
          <w:color w:val="1F497D"/>
        </w:rPr>
        <w:t xml:space="preserve"> </w:t>
      </w:r>
      <w:r w:rsidRPr="002513B4">
        <w:t>This is the HHA’s NPI.</w:t>
      </w:r>
    </w:p>
    <w:p w14:paraId="4923D244" w14:textId="77777777" w:rsidR="00EB0710" w:rsidRPr="002513B4" w:rsidRDefault="00EB0710" w:rsidP="00EB0710">
      <w:pPr>
        <w:pStyle w:val="ListBullet"/>
      </w:pPr>
      <w:r w:rsidRPr="002513B4">
        <w:rPr>
          <w:b/>
          <w:color w:val="1F497D"/>
        </w:rPr>
        <w:t>Sample Month</w:t>
      </w:r>
      <w:r w:rsidRPr="002513B4">
        <w:rPr>
          <w:color w:val="1F497D"/>
        </w:rPr>
        <w:t xml:space="preserve">. </w:t>
      </w:r>
      <w:r w:rsidRPr="002513B4">
        <w:t>This is the calendar year month for which the sample was selected.</w:t>
      </w:r>
    </w:p>
    <w:p w14:paraId="7E465750" w14:textId="77777777" w:rsidR="00EB0710" w:rsidRPr="002513B4" w:rsidRDefault="00EB0710" w:rsidP="00EB0710">
      <w:pPr>
        <w:pStyle w:val="ListBullet"/>
      </w:pPr>
      <w:r w:rsidRPr="002513B4">
        <w:rPr>
          <w:b/>
          <w:color w:val="1F497D"/>
        </w:rPr>
        <w:t>Sample Year</w:t>
      </w:r>
      <w:r w:rsidRPr="002513B4">
        <w:rPr>
          <w:color w:val="1F497D"/>
        </w:rPr>
        <w:t xml:space="preserve">. </w:t>
      </w:r>
      <w:r w:rsidRPr="002513B4">
        <w:t>This is the calendar year in which the survey is conducted.</w:t>
      </w:r>
    </w:p>
    <w:p w14:paraId="6B908561" w14:textId="16198DAB" w:rsidR="00EB0710" w:rsidRPr="002513B4" w:rsidRDefault="00EB0710" w:rsidP="00EB0710">
      <w:pPr>
        <w:pStyle w:val="ListBullet"/>
      </w:pPr>
      <w:r w:rsidRPr="002513B4">
        <w:rPr>
          <w:b/>
          <w:color w:val="1F497D"/>
        </w:rPr>
        <w:t>Sample ID Number.</w:t>
      </w:r>
      <w:r w:rsidRPr="002513B4">
        <w:rPr>
          <w:color w:val="1F497D"/>
        </w:rPr>
        <w:t xml:space="preserve"> </w:t>
      </w:r>
      <w:r w:rsidRPr="002513B4">
        <w:t xml:space="preserve">This is the unique de-identified SID number the survey vendor assigns to the sampled patient record. Additional information about the guidelines surrounding a SID can be found in </w:t>
      </w:r>
      <w:r w:rsidRPr="002513B4">
        <w:rPr>
          <w:b/>
          <w:i/>
        </w:rPr>
        <w:t xml:space="preserve">Chapter </w:t>
      </w:r>
      <w:r w:rsidR="00052BBA" w:rsidRPr="002513B4">
        <w:rPr>
          <w:b/>
          <w:i/>
        </w:rPr>
        <w:t>4</w:t>
      </w:r>
      <w:r w:rsidRPr="002513B4">
        <w:t>.</w:t>
      </w:r>
    </w:p>
    <w:p w14:paraId="2259DB0B" w14:textId="77777777" w:rsidR="00EB0710" w:rsidRPr="002513B4" w:rsidRDefault="00EB0710" w:rsidP="00EB0710">
      <w:pPr>
        <w:pStyle w:val="ListBullet"/>
      </w:pPr>
      <w:r w:rsidRPr="002513B4">
        <w:rPr>
          <w:b/>
          <w:color w:val="1F497D"/>
        </w:rPr>
        <w:t>Patient Age.</w:t>
      </w:r>
      <w:r w:rsidRPr="002513B4">
        <w:rPr>
          <w:color w:val="1F497D"/>
        </w:rPr>
        <w:t xml:space="preserve"> </w:t>
      </w:r>
      <w:r w:rsidRPr="002513B4">
        <w:t xml:space="preserve">The vendor will calculate the sample member’s age based on the date of birth provided by the HHA and </w:t>
      </w:r>
      <w:r w:rsidR="00CB762D" w:rsidRPr="002513B4">
        <w:t>last day of the sample month</w:t>
      </w:r>
      <w:r w:rsidRPr="002513B4">
        <w:t xml:space="preserve">. If a sampled patient has an unknown date of birth (because it was not provided by the </w:t>
      </w:r>
      <w:r w:rsidR="00CB762D" w:rsidRPr="002513B4">
        <w:t>HHA</w:t>
      </w:r>
      <w:r w:rsidRPr="002513B4">
        <w:t xml:space="preserve"> but meets the other eligibility criteria and is considered eligible), the vendor is unable to </w:t>
      </w:r>
      <w:r w:rsidRPr="002513B4">
        <w:lastRenderedPageBreak/>
        <w:t>calculate the patient’s age and should apply code “M” (Unknown/Missing) for this variable.</w:t>
      </w:r>
    </w:p>
    <w:p w14:paraId="6C34F1C3" w14:textId="6628A998" w:rsidR="00EB0710" w:rsidRPr="002513B4" w:rsidRDefault="00C80495" w:rsidP="00EB0710">
      <w:pPr>
        <w:pStyle w:val="ListBullet"/>
      </w:pPr>
      <w:r w:rsidRPr="002513B4">
        <w:rPr>
          <w:b/>
          <w:color w:val="1F497D"/>
        </w:rPr>
        <w:t>Sex</w:t>
      </w:r>
      <w:r w:rsidR="00EB0710" w:rsidRPr="002513B4">
        <w:rPr>
          <w:b/>
          <w:color w:val="1F497D"/>
        </w:rPr>
        <w:t>.</w:t>
      </w:r>
      <w:r w:rsidR="00EB0710" w:rsidRPr="002513B4">
        <w:rPr>
          <w:color w:val="1F497D"/>
        </w:rPr>
        <w:t xml:space="preserve"> </w:t>
      </w:r>
      <w:r w:rsidR="00EB0710" w:rsidRPr="002513B4">
        <w:t xml:space="preserve">This is the patient’s </w:t>
      </w:r>
      <w:r w:rsidRPr="002513B4">
        <w:t xml:space="preserve">sex </w:t>
      </w:r>
      <w:r w:rsidR="00EB0710" w:rsidRPr="002513B4">
        <w:t xml:space="preserve">as indicated on the </w:t>
      </w:r>
      <w:r w:rsidR="00CB762D" w:rsidRPr="002513B4">
        <w:t>HHA’s</w:t>
      </w:r>
      <w:r w:rsidR="00EB0710" w:rsidRPr="002513B4">
        <w:t xml:space="preserve"> monthly patient information file. If a sampled patient’s </w:t>
      </w:r>
      <w:r w:rsidRPr="002513B4">
        <w:t xml:space="preserve">sex </w:t>
      </w:r>
      <w:r w:rsidR="00EB0710" w:rsidRPr="002513B4">
        <w:t>is unknown, the vendor should apply code “M” (Unknown/Missing) for this variable.</w:t>
      </w:r>
    </w:p>
    <w:p w14:paraId="462BAB98" w14:textId="23C2D8FF" w:rsidR="00CB762D" w:rsidRPr="002513B4" w:rsidRDefault="00CB762D" w:rsidP="00EB0710">
      <w:pPr>
        <w:pStyle w:val="ListBullet"/>
      </w:pPr>
      <w:r w:rsidRPr="002513B4">
        <w:rPr>
          <w:b/>
          <w:bCs/>
          <w:color w:val="1F497D"/>
        </w:rPr>
        <w:t>Number of Skilled Visits</w:t>
      </w:r>
      <w:r w:rsidRPr="002513B4">
        <w:rPr>
          <w:color w:val="1F497D"/>
        </w:rPr>
        <w:t xml:space="preserve">. </w:t>
      </w:r>
      <w:r w:rsidRPr="002513B4">
        <w:t xml:space="preserve">This is the total number of skilled home health visits the patient had in the sample month. See </w:t>
      </w:r>
      <w:r w:rsidRPr="002513B4">
        <w:rPr>
          <w:b/>
          <w:bCs/>
          <w:i/>
          <w:iCs/>
        </w:rPr>
        <w:t xml:space="preserve">Chapter </w:t>
      </w:r>
      <w:r w:rsidR="00052BBA" w:rsidRPr="002513B4">
        <w:rPr>
          <w:b/>
          <w:bCs/>
          <w:i/>
          <w:iCs/>
        </w:rPr>
        <w:t>4</w:t>
      </w:r>
      <w:r w:rsidRPr="002513B4">
        <w:rPr>
          <w:b/>
          <w:bCs/>
          <w:i/>
          <w:iCs/>
        </w:rPr>
        <w:t xml:space="preserve"> </w:t>
      </w:r>
      <w:r w:rsidRPr="002513B4">
        <w:t xml:space="preserve">for additional information as to how a “skilled visit” is defined for the HHCAHPS Survey. </w:t>
      </w:r>
    </w:p>
    <w:p w14:paraId="1462B379" w14:textId="51B588EC" w:rsidR="00CB762D" w:rsidRPr="002513B4" w:rsidRDefault="00CB762D" w:rsidP="00EB0710">
      <w:pPr>
        <w:pStyle w:val="ListBullet"/>
      </w:pPr>
      <w:r w:rsidRPr="002513B4">
        <w:rPr>
          <w:b/>
          <w:bCs/>
          <w:color w:val="1F497D"/>
        </w:rPr>
        <w:t>Number of Lookback Visits</w:t>
      </w:r>
      <w:r w:rsidRPr="002513B4">
        <w:rPr>
          <w:color w:val="1F497D"/>
        </w:rPr>
        <w:t xml:space="preserve">. </w:t>
      </w:r>
      <w:r w:rsidRPr="002513B4">
        <w:t xml:space="preserve">This is the total number of skilled home health visits the patient had in the lookback period (i.e., sample month and the month preceding the sample month). See </w:t>
      </w:r>
      <w:r w:rsidRPr="002513B4">
        <w:rPr>
          <w:b/>
          <w:bCs/>
          <w:i/>
          <w:iCs/>
        </w:rPr>
        <w:t xml:space="preserve">Chapter </w:t>
      </w:r>
      <w:r w:rsidR="00052BBA" w:rsidRPr="002513B4">
        <w:rPr>
          <w:b/>
          <w:bCs/>
          <w:i/>
          <w:iCs/>
        </w:rPr>
        <w:t>4</w:t>
      </w:r>
      <w:r w:rsidRPr="002513B4">
        <w:t xml:space="preserve"> for additional guidance for calculating this number.</w:t>
      </w:r>
    </w:p>
    <w:p w14:paraId="298BE6D9" w14:textId="7DF541F9" w:rsidR="00CB762D" w:rsidRPr="002513B4" w:rsidRDefault="00CB762D" w:rsidP="00EB0710">
      <w:pPr>
        <w:pStyle w:val="ListBullet"/>
      </w:pPr>
      <w:r w:rsidRPr="002513B4">
        <w:rPr>
          <w:b/>
          <w:bCs/>
          <w:color w:val="1F497D"/>
        </w:rPr>
        <w:t>Admission Source</w:t>
      </w:r>
      <w:r w:rsidRPr="002513B4">
        <w:rPr>
          <w:color w:val="1F497D"/>
        </w:rPr>
        <w:t xml:space="preserve">. </w:t>
      </w:r>
      <w:r w:rsidRPr="002513B4">
        <w:t xml:space="preserve">This is the place of residence or medical care setting from which the patient was admitted. See </w:t>
      </w:r>
      <w:r w:rsidRPr="002513B4">
        <w:rPr>
          <w:b/>
          <w:bCs/>
          <w:i/>
          <w:iCs/>
        </w:rPr>
        <w:t xml:space="preserve">Chapter </w:t>
      </w:r>
      <w:r w:rsidR="00052BBA" w:rsidRPr="002513B4">
        <w:rPr>
          <w:b/>
          <w:bCs/>
          <w:i/>
          <w:iCs/>
        </w:rPr>
        <w:t>4</w:t>
      </w:r>
      <w:r w:rsidRPr="002513B4">
        <w:rPr>
          <w:b/>
          <w:bCs/>
          <w:i/>
          <w:iCs/>
        </w:rPr>
        <w:t xml:space="preserve"> </w:t>
      </w:r>
      <w:r w:rsidRPr="002513B4">
        <w:t>for additional information. The source of admissio</w:t>
      </w:r>
      <w:r w:rsidR="008623EF" w:rsidRPr="002513B4">
        <w:t xml:space="preserve">n </w:t>
      </w:r>
      <w:r w:rsidRPr="002513B4">
        <w:t>can be coded as hospital (acute or long-term) with “1”; rehabilitation facility (hospital) with “2”; skilled nursing facility (or swing bed in hospital) with “3”; other nursing home (long-term care) with “4”; other inpatient facility with “5”; and/or directly from the community (</w:t>
      </w:r>
      <w:r w:rsidR="007F6AA1" w:rsidRPr="002513B4">
        <w:t>e.g</w:t>
      </w:r>
      <w:r w:rsidRPr="002513B4">
        <w:t xml:space="preserve">., private home, assisted living, group home, adult foster care) with “6.” </w:t>
      </w:r>
    </w:p>
    <w:p w14:paraId="7723EE04" w14:textId="345750E6" w:rsidR="00DC6FA9" w:rsidRPr="002513B4" w:rsidRDefault="008623EF" w:rsidP="00EB0710">
      <w:pPr>
        <w:pStyle w:val="ListBullet"/>
      </w:pPr>
      <w:r w:rsidRPr="002513B4">
        <w:rPr>
          <w:b/>
          <w:bCs/>
          <w:color w:val="1F497D"/>
        </w:rPr>
        <w:t>Payer Source</w:t>
      </w:r>
      <w:r w:rsidRPr="002513B4">
        <w:rPr>
          <w:color w:val="1F497D"/>
        </w:rPr>
        <w:t xml:space="preserve">. </w:t>
      </w:r>
      <w:r w:rsidRPr="002513B4">
        <w:t xml:space="preserve">This is the source(s) of payment for the patient’s home health care. Note that multiple sources may apply. See </w:t>
      </w:r>
      <w:r w:rsidRPr="002513B4">
        <w:rPr>
          <w:b/>
          <w:bCs/>
          <w:i/>
          <w:iCs/>
        </w:rPr>
        <w:t xml:space="preserve">Chapter </w:t>
      </w:r>
      <w:r w:rsidR="00052BBA" w:rsidRPr="002513B4">
        <w:rPr>
          <w:b/>
          <w:bCs/>
          <w:i/>
          <w:iCs/>
        </w:rPr>
        <w:t>4</w:t>
      </w:r>
      <w:r w:rsidRPr="002513B4">
        <w:rPr>
          <w:b/>
          <w:bCs/>
          <w:i/>
          <w:iCs/>
        </w:rPr>
        <w:t xml:space="preserve"> </w:t>
      </w:r>
      <w:r w:rsidRPr="002513B4">
        <w:t xml:space="preserve">for additional information. The payer source can be coded as Medicare, Medicaid, private health insurance or other source. </w:t>
      </w:r>
    </w:p>
    <w:p w14:paraId="386F11D4" w14:textId="74439677" w:rsidR="00EE74F9" w:rsidRPr="002513B4" w:rsidRDefault="00EE74F9" w:rsidP="00074EBD">
      <w:pPr>
        <w:pStyle w:val="BodyText"/>
        <w:rPr>
          <w:lang w:val="en-US"/>
        </w:rPr>
      </w:pPr>
      <w:r w:rsidRPr="002513B4">
        <w:rPr>
          <w:lang w:val="en-US"/>
        </w:rPr>
        <w:t xml:space="preserve">As described in </w:t>
      </w:r>
      <w:r w:rsidRPr="002513B4">
        <w:rPr>
          <w:b/>
          <w:i/>
          <w:lang w:val="en-US"/>
        </w:rPr>
        <w:t>Chapter </w:t>
      </w:r>
      <w:r w:rsidR="00052BBA" w:rsidRPr="002513B4">
        <w:rPr>
          <w:b/>
          <w:i/>
          <w:lang w:val="en-US"/>
        </w:rPr>
        <w:t>4</w:t>
      </w:r>
      <w:r w:rsidRPr="002513B4">
        <w:rPr>
          <w:lang w:val="en-US"/>
        </w:rPr>
        <w:t>, there may be situations in which the HHA is not able to provide the source of payment for patients it served during a sample month in time for the survey to be fielded for that sample month. If this happens, the vendor should include the patients on the sample frame provided they meet other survey eligibility criteria and survey the patients if they are sampled. If the HHA never provides the source of payment, the vendor should treat the patient(s) as eligible, code the payer source data element as “Missing,” code the disposition of each case as appropriate, and then submit the data for all sampled and surveyed patients to the HHCAHPS Data Center.</w:t>
      </w:r>
    </w:p>
    <w:p w14:paraId="180BCDF5" w14:textId="77777777" w:rsidR="00EE74F9" w:rsidRPr="002513B4" w:rsidRDefault="00EE74F9" w:rsidP="00443302">
      <w:pPr>
        <w:pStyle w:val="ListBullet"/>
      </w:pPr>
      <w:r w:rsidRPr="002513B4">
        <w:t xml:space="preserve">If the HHA provides the payer sources before the data collection period has ended, and one or more patients surveyed is not covered by Medicare or Medicaid, the vendor should code the patient as ineligible on the </w:t>
      </w:r>
      <w:r w:rsidR="00D818AA" w:rsidRPr="002513B4">
        <w:t>XML data file</w:t>
      </w:r>
      <w:r w:rsidRPr="002513B4">
        <w:t>.</w:t>
      </w:r>
    </w:p>
    <w:p w14:paraId="17E8DE9D" w14:textId="77777777" w:rsidR="00EE74F9" w:rsidRPr="002513B4" w:rsidRDefault="00EE74F9" w:rsidP="00443302">
      <w:pPr>
        <w:pStyle w:val="ListBullet"/>
      </w:pPr>
      <w:r w:rsidRPr="002513B4">
        <w:t>The data submission tool also accommodates the situation in which the payer source is not provided by the HHA but can be assumed, using the code “</w:t>
      </w:r>
      <w:r w:rsidRPr="002513B4">
        <w:rPr>
          <w:b/>
          <w:bCs/>
        </w:rPr>
        <w:t>A—assumed</w:t>
      </w:r>
      <w:r w:rsidRPr="002513B4">
        <w:rPr>
          <w:bCs/>
        </w:rPr>
        <w:t>,”</w:t>
      </w:r>
      <w:r w:rsidRPr="002513B4">
        <w:t xml:space="preserve"> as described below.</w:t>
      </w:r>
    </w:p>
    <w:p w14:paraId="5BB0DFC3" w14:textId="77777777" w:rsidR="00EE74F9" w:rsidRPr="002513B4" w:rsidRDefault="00EE74F9" w:rsidP="00A62DD9">
      <w:pPr>
        <w:pStyle w:val="ListBullet2"/>
      </w:pPr>
      <w:r w:rsidRPr="002513B4">
        <w:lastRenderedPageBreak/>
        <w:t>If the HHA does not provide the payment source on the monthly patient information file, the vendor should check with the HHA to determine whether the HHA believes that the patient is covered by Medicare or Medicaid. If the HHA cannot confirm the payer source but believes that the sample member’s care is or will be paid for by Medicare (for example), the survey vendor should assign a value of “</w:t>
      </w:r>
      <w:r w:rsidRPr="002513B4">
        <w:rPr>
          <w:b/>
          <w:bCs/>
        </w:rPr>
        <w:t>A—assumed</w:t>
      </w:r>
      <w:r w:rsidRPr="002513B4">
        <w:rPr>
          <w:bCs/>
        </w:rPr>
        <w:t>”</w:t>
      </w:r>
      <w:r w:rsidRPr="002513B4">
        <w:t xml:space="preserve"> to the payer-Medicare data element for that sample member. This should be done for each applicable payer source data element (see </w:t>
      </w:r>
      <w:r w:rsidRPr="002513B4">
        <w:rPr>
          <w:b/>
          <w:i/>
        </w:rPr>
        <w:t>Exhibit 10.4</w:t>
      </w:r>
      <w:r w:rsidRPr="002513B4">
        <w:t>).</w:t>
      </w:r>
    </w:p>
    <w:p w14:paraId="2B85148E" w14:textId="77777777" w:rsidR="00EE74F9" w:rsidRPr="002513B4" w:rsidRDefault="00EE74F9" w:rsidP="00A62DD9">
      <w:pPr>
        <w:pStyle w:val="ListBullet2"/>
      </w:pPr>
      <w:r w:rsidRPr="002513B4">
        <w:t>The value “A” should only be assigned if the HHA is unable to provide the payer status for a patient but believes that the patient’s care is covered by Medicare (or Medicaid, Private Pay, etc.). If the HHA does not have any idea what the payment source was or will be, the survey vendor should code each payment source data element as “M” for missing.</w:t>
      </w:r>
    </w:p>
    <w:p w14:paraId="2B7267D3" w14:textId="35ECBB9F" w:rsidR="00EE74F9" w:rsidRPr="002513B4" w:rsidRDefault="00EE74F9" w:rsidP="00EE74F9">
      <w:pPr>
        <w:pStyle w:val="ExhibitCaption"/>
        <w:rPr>
          <w:sz w:val="18"/>
          <w:szCs w:val="18"/>
        </w:rPr>
      </w:pPr>
      <w:bookmarkStart w:id="368" w:name="_Toc407625469"/>
      <w:bookmarkStart w:id="369" w:name="_Toc24713420"/>
      <w:bookmarkStart w:id="370" w:name="_Toc217024902"/>
      <w:r w:rsidRPr="002513B4">
        <w:rPr>
          <w:sz w:val="18"/>
          <w:szCs w:val="18"/>
        </w:rPr>
        <w:t>Exhibit 10.4</w:t>
      </w:r>
      <w:r w:rsidR="00AF6BE4" w:rsidRPr="002513B4">
        <w:rPr>
          <w:sz w:val="18"/>
          <w:szCs w:val="18"/>
        </w:rPr>
        <w:t xml:space="preserve"> </w:t>
      </w:r>
      <w:bookmarkEnd w:id="368"/>
      <w:r w:rsidRPr="002513B4">
        <w:rPr>
          <w:sz w:val="18"/>
          <w:szCs w:val="18"/>
        </w:rPr>
        <w:t>Payer Source Data Elements</w:t>
      </w:r>
      <w:bookmarkEnd w:id="369"/>
      <w:bookmarkEnd w:id="370"/>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Description w:val="Exhibit 10.4 details the Payer Source Data Elements, including the XML elements and valid values for each"/>
      </w:tblPr>
      <w:tblGrid>
        <w:gridCol w:w="3580"/>
        <w:gridCol w:w="2720"/>
      </w:tblGrid>
      <w:tr w:rsidR="00EE74F9" w:rsidRPr="002513B4" w14:paraId="2D076538" w14:textId="77777777" w:rsidTr="00AF6BE4">
        <w:trPr>
          <w:cantSplit/>
          <w:tblHeader/>
          <w:jc w:val="center"/>
        </w:trPr>
        <w:tc>
          <w:tcPr>
            <w:tcW w:w="3580" w:type="dxa"/>
            <w:shd w:val="clear" w:color="auto" w:fill="1F497D"/>
            <w:vAlign w:val="bottom"/>
          </w:tcPr>
          <w:p w14:paraId="5F05D421"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XML Element</w:t>
            </w:r>
          </w:p>
        </w:tc>
        <w:tc>
          <w:tcPr>
            <w:tcW w:w="2720" w:type="dxa"/>
            <w:shd w:val="clear" w:color="auto" w:fill="1F497D"/>
            <w:vAlign w:val="bottom"/>
          </w:tcPr>
          <w:p w14:paraId="7DA7E4F4" w14:textId="77777777" w:rsidR="00EE74F9" w:rsidRPr="002513B4" w:rsidRDefault="00EE74F9" w:rsidP="00C553FE">
            <w:pPr>
              <w:pStyle w:val="TableHeaders"/>
              <w:rPr>
                <w:color w:val="FFFFFF" w:themeColor="background1"/>
                <w:sz w:val="18"/>
                <w:szCs w:val="18"/>
              </w:rPr>
            </w:pPr>
            <w:r w:rsidRPr="002513B4">
              <w:rPr>
                <w:color w:val="FFFFFF" w:themeColor="background1"/>
                <w:sz w:val="18"/>
                <w:szCs w:val="18"/>
              </w:rPr>
              <w:t>Valid Values</w:t>
            </w:r>
          </w:p>
        </w:tc>
      </w:tr>
      <w:tr w:rsidR="00EE74F9" w:rsidRPr="002513B4" w14:paraId="7F1B221C" w14:textId="77777777" w:rsidTr="00AF6BE4">
        <w:trPr>
          <w:cantSplit/>
          <w:jc w:val="center"/>
        </w:trPr>
        <w:tc>
          <w:tcPr>
            <w:tcW w:w="3580" w:type="dxa"/>
          </w:tcPr>
          <w:p w14:paraId="0FC2E37F" w14:textId="77777777" w:rsidR="00EE74F9" w:rsidRPr="002513B4" w:rsidRDefault="00EE74F9" w:rsidP="00AF6BE4">
            <w:pPr>
              <w:pStyle w:val="TableText"/>
              <w:keepNext/>
              <w:jc w:val="right"/>
              <w:rPr>
                <w:sz w:val="18"/>
                <w:szCs w:val="18"/>
              </w:rPr>
            </w:pPr>
            <w:bookmarkStart w:id="371" w:name="_Hlk156562724"/>
            <w:r w:rsidRPr="002513B4">
              <w:rPr>
                <w:sz w:val="18"/>
                <w:szCs w:val="18"/>
              </w:rPr>
              <w:t>Payer (e.g., Medicare)</w:t>
            </w:r>
          </w:p>
          <w:p w14:paraId="429E43EC" w14:textId="77777777" w:rsidR="00EE74F9" w:rsidRPr="002513B4" w:rsidRDefault="00A1764A" w:rsidP="00AF6BE4">
            <w:pPr>
              <w:pStyle w:val="TableText"/>
              <w:keepNext/>
              <w:jc w:val="right"/>
              <w:rPr>
                <w:sz w:val="18"/>
                <w:szCs w:val="18"/>
              </w:rPr>
            </w:pPr>
            <w:r w:rsidRPr="002513B4">
              <w:rPr>
                <w:sz w:val="18"/>
                <w:szCs w:val="18"/>
              </w:rPr>
              <w:t>&lt;</w:t>
            </w:r>
            <w:r w:rsidR="00EE74F9" w:rsidRPr="002513B4">
              <w:rPr>
                <w:sz w:val="18"/>
                <w:szCs w:val="18"/>
              </w:rPr>
              <w:t>payer-medicare</w:t>
            </w:r>
            <w:r w:rsidRPr="002513B4">
              <w:rPr>
                <w:sz w:val="18"/>
                <w:szCs w:val="18"/>
              </w:rPr>
              <w:t>&gt;</w:t>
            </w:r>
          </w:p>
        </w:tc>
        <w:tc>
          <w:tcPr>
            <w:tcW w:w="2720" w:type="dxa"/>
          </w:tcPr>
          <w:p w14:paraId="4CA084D5" w14:textId="77777777" w:rsidR="00EE74F9" w:rsidRPr="002513B4" w:rsidRDefault="00EE74F9" w:rsidP="00C553FE">
            <w:pPr>
              <w:pStyle w:val="TableText"/>
              <w:keepNext/>
              <w:rPr>
                <w:sz w:val="18"/>
                <w:szCs w:val="18"/>
              </w:rPr>
            </w:pPr>
            <w:r w:rsidRPr="002513B4">
              <w:rPr>
                <w:sz w:val="18"/>
                <w:szCs w:val="18"/>
              </w:rPr>
              <w:t>1 = Medicare</w:t>
            </w:r>
          </w:p>
          <w:p w14:paraId="4514BFE3" w14:textId="77777777" w:rsidR="00EE74F9" w:rsidRPr="002513B4" w:rsidRDefault="00EE74F9" w:rsidP="00C553FE">
            <w:pPr>
              <w:pStyle w:val="TableText"/>
              <w:keepNext/>
              <w:rPr>
                <w:sz w:val="18"/>
                <w:szCs w:val="18"/>
              </w:rPr>
            </w:pPr>
            <w:r w:rsidRPr="002513B4">
              <w:rPr>
                <w:sz w:val="18"/>
                <w:szCs w:val="18"/>
              </w:rPr>
              <w:t>A = Assumed</w:t>
            </w:r>
          </w:p>
          <w:p w14:paraId="48123F81" w14:textId="77777777" w:rsidR="00EE74F9" w:rsidRPr="002513B4" w:rsidRDefault="00EE74F9" w:rsidP="00C553FE">
            <w:pPr>
              <w:pStyle w:val="TableText"/>
              <w:keepNext/>
              <w:rPr>
                <w:sz w:val="18"/>
                <w:szCs w:val="18"/>
                <w:highlight w:val="yellow"/>
              </w:rPr>
            </w:pPr>
            <w:r w:rsidRPr="002513B4">
              <w:rPr>
                <w:sz w:val="18"/>
                <w:szCs w:val="18"/>
              </w:rPr>
              <w:t>M = Unknown/Missing</w:t>
            </w:r>
          </w:p>
        </w:tc>
      </w:tr>
      <w:tr w:rsidR="00EE74F9" w:rsidRPr="002513B4" w14:paraId="07BF3C06" w14:textId="77777777" w:rsidTr="00AF6BE4">
        <w:trPr>
          <w:cantSplit/>
          <w:jc w:val="center"/>
        </w:trPr>
        <w:tc>
          <w:tcPr>
            <w:tcW w:w="3580" w:type="dxa"/>
          </w:tcPr>
          <w:p w14:paraId="4EF87BBD" w14:textId="77777777" w:rsidR="00EE74F9" w:rsidRPr="002513B4" w:rsidRDefault="00EE74F9" w:rsidP="00AF6BE4">
            <w:pPr>
              <w:pStyle w:val="TableText"/>
              <w:keepNext/>
              <w:jc w:val="right"/>
              <w:rPr>
                <w:sz w:val="18"/>
                <w:szCs w:val="18"/>
              </w:rPr>
            </w:pPr>
            <w:r w:rsidRPr="002513B4">
              <w:rPr>
                <w:sz w:val="18"/>
                <w:szCs w:val="18"/>
              </w:rPr>
              <w:t>Payer (e.g., Medicaid)</w:t>
            </w:r>
          </w:p>
          <w:p w14:paraId="2DAFED55" w14:textId="77777777" w:rsidR="00EE74F9" w:rsidRPr="002513B4" w:rsidRDefault="00A1764A" w:rsidP="00AF6BE4">
            <w:pPr>
              <w:pStyle w:val="TableText"/>
              <w:keepNext/>
              <w:jc w:val="right"/>
              <w:rPr>
                <w:sz w:val="18"/>
                <w:szCs w:val="18"/>
              </w:rPr>
            </w:pPr>
            <w:r w:rsidRPr="002513B4">
              <w:rPr>
                <w:sz w:val="18"/>
                <w:szCs w:val="18"/>
              </w:rPr>
              <w:t>&lt;</w:t>
            </w:r>
            <w:r w:rsidR="00EE74F9" w:rsidRPr="002513B4">
              <w:rPr>
                <w:sz w:val="18"/>
                <w:szCs w:val="18"/>
              </w:rPr>
              <w:t>payer-medicaid</w:t>
            </w:r>
            <w:r w:rsidRPr="002513B4">
              <w:rPr>
                <w:sz w:val="18"/>
                <w:szCs w:val="18"/>
              </w:rPr>
              <w:t>&gt;</w:t>
            </w:r>
          </w:p>
        </w:tc>
        <w:tc>
          <w:tcPr>
            <w:tcW w:w="2720" w:type="dxa"/>
          </w:tcPr>
          <w:p w14:paraId="5130B064" w14:textId="77777777" w:rsidR="00EE74F9" w:rsidRPr="002513B4" w:rsidRDefault="00EE74F9" w:rsidP="00C553FE">
            <w:pPr>
              <w:pStyle w:val="TableText"/>
              <w:keepNext/>
              <w:rPr>
                <w:sz w:val="18"/>
                <w:szCs w:val="18"/>
              </w:rPr>
            </w:pPr>
            <w:r w:rsidRPr="002513B4">
              <w:rPr>
                <w:sz w:val="18"/>
                <w:szCs w:val="18"/>
              </w:rPr>
              <w:t>1 = Medicaid</w:t>
            </w:r>
          </w:p>
          <w:p w14:paraId="53EBD65A" w14:textId="77777777" w:rsidR="00EE74F9" w:rsidRPr="002513B4" w:rsidRDefault="00EE74F9" w:rsidP="00C553FE">
            <w:pPr>
              <w:pStyle w:val="TableText"/>
              <w:keepNext/>
              <w:rPr>
                <w:sz w:val="18"/>
                <w:szCs w:val="18"/>
              </w:rPr>
            </w:pPr>
            <w:r w:rsidRPr="002513B4">
              <w:rPr>
                <w:sz w:val="18"/>
                <w:szCs w:val="18"/>
              </w:rPr>
              <w:t>A = Assumed</w:t>
            </w:r>
          </w:p>
          <w:p w14:paraId="198B155C" w14:textId="77777777" w:rsidR="00EE74F9" w:rsidRPr="002513B4" w:rsidRDefault="00EE74F9" w:rsidP="00C553FE">
            <w:pPr>
              <w:pStyle w:val="TableText"/>
              <w:keepNext/>
              <w:rPr>
                <w:sz w:val="18"/>
                <w:szCs w:val="18"/>
                <w:highlight w:val="yellow"/>
              </w:rPr>
            </w:pPr>
            <w:r w:rsidRPr="002513B4">
              <w:rPr>
                <w:sz w:val="18"/>
                <w:szCs w:val="18"/>
              </w:rPr>
              <w:t>M = Unknown/Missing</w:t>
            </w:r>
          </w:p>
        </w:tc>
      </w:tr>
      <w:tr w:rsidR="00EE74F9" w:rsidRPr="002513B4" w14:paraId="29686595" w14:textId="77777777" w:rsidTr="00AF6BE4">
        <w:trPr>
          <w:cantSplit/>
          <w:jc w:val="center"/>
        </w:trPr>
        <w:tc>
          <w:tcPr>
            <w:tcW w:w="3580" w:type="dxa"/>
          </w:tcPr>
          <w:p w14:paraId="4E6E5E3D" w14:textId="77777777" w:rsidR="00EE74F9" w:rsidRPr="002513B4" w:rsidRDefault="00EE74F9" w:rsidP="00AF6BE4">
            <w:pPr>
              <w:pStyle w:val="TableText"/>
              <w:keepNext/>
              <w:jc w:val="right"/>
              <w:rPr>
                <w:sz w:val="18"/>
                <w:szCs w:val="18"/>
              </w:rPr>
            </w:pPr>
            <w:r w:rsidRPr="002513B4">
              <w:rPr>
                <w:sz w:val="18"/>
                <w:szCs w:val="18"/>
              </w:rPr>
              <w:t>Payer (e.g., private insurance)</w:t>
            </w:r>
          </w:p>
          <w:p w14:paraId="7B221C81" w14:textId="77777777" w:rsidR="00EE74F9" w:rsidRPr="002513B4" w:rsidRDefault="00A1764A" w:rsidP="00AF6BE4">
            <w:pPr>
              <w:pStyle w:val="TableText"/>
              <w:keepNext/>
              <w:jc w:val="right"/>
              <w:rPr>
                <w:sz w:val="18"/>
                <w:szCs w:val="18"/>
              </w:rPr>
            </w:pPr>
            <w:r w:rsidRPr="002513B4">
              <w:rPr>
                <w:sz w:val="18"/>
                <w:szCs w:val="18"/>
              </w:rPr>
              <w:t>&lt;</w:t>
            </w:r>
            <w:r w:rsidR="00EE74F9" w:rsidRPr="002513B4">
              <w:rPr>
                <w:sz w:val="18"/>
                <w:szCs w:val="18"/>
              </w:rPr>
              <w:t>payer-private</w:t>
            </w:r>
            <w:r w:rsidRPr="002513B4">
              <w:rPr>
                <w:sz w:val="18"/>
                <w:szCs w:val="18"/>
              </w:rPr>
              <w:t>&gt;</w:t>
            </w:r>
          </w:p>
        </w:tc>
        <w:tc>
          <w:tcPr>
            <w:tcW w:w="2720" w:type="dxa"/>
          </w:tcPr>
          <w:p w14:paraId="66AC729A" w14:textId="77777777" w:rsidR="00EE74F9" w:rsidRPr="002513B4" w:rsidRDefault="00EE74F9" w:rsidP="00C553FE">
            <w:pPr>
              <w:pStyle w:val="TableText"/>
              <w:keepNext/>
              <w:rPr>
                <w:sz w:val="18"/>
                <w:szCs w:val="18"/>
              </w:rPr>
            </w:pPr>
            <w:r w:rsidRPr="002513B4">
              <w:rPr>
                <w:sz w:val="18"/>
                <w:szCs w:val="18"/>
              </w:rPr>
              <w:t>1 = Private health insurance</w:t>
            </w:r>
          </w:p>
          <w:p w14:paraId="00B573F6" w14:textId="77777777" w:rsidR="00EE74F9" w:rsidRPr="002513B4" w:rsidRDefault="00EE74F9" w:rsidP="00C553FE">
            <w:pPr>
              <w:pStyle w:val="TableText"/>
              <w:keepNext/>
              <w:rPr>
                <w:sz w:val="18"/>
                <w:szCs w:val="18"/>
              </w:rPr>
            </w:pPr>
            <w:r w:rsidRPr="002513B4">
              <w:rPr>
                <w:sz w:val="18"/>
                <w:szCs w:val="18"/>
              </w:rPr>
              <w:t>A = Assumed</w:t>
            </w:r>
          </w:p>
          <w:p w14:paraId="4C2E5B10" w14:textId="77777777" w:rsidR="00EE74F9" w:rsidRPr="002513B4" w:rsidRDefault="00EE74F9" w:rsidP="00C553FE">
            <w:pPr>
              <w:pStyle w:val="TableText"/>
              <w:keepNext/>
              <w:rPr>
                <w:sz w:val="18"/>
                <w:szCs w:val="18"/>
                <w:highlight w:val="yellow"/>
              </w:rPr>
            </w:pPr>
            <w:r w:rsidRPr="002513B4">
              <w:rPr>
                <w:sz w:val="18"/>
                <w:szCs w:val="18"/>
              </w:rPr>
              <w:t>M = Unknown/Missing</w:t>
            </w:r>
          </w:p>
        </w:tc>
      </w:tr>
      <w:tr w:rsidR="00EE74F9" w:rsidRPr="002513B4" w14:paraId="4B991281" w14:textId="77777777" w:rsidTr="00AF6BE4">
        <w:trPr>
          <w:cantSplit/>
          <w:jc w:val="center"/>
        </w:trPr>
        <w:tc>
          <w:tcPr>
            <w:tcW w:w="3580" w:type="dxa"/>
          </w:tcPr>
          <w:p w14:paraId="250DD23B" w14:textId="77777777" w:rsidR="00EE74F9" w:rsidRPr="002513B4" w:rsidRDefault="00EE74F9" w:rsidP="00AF6BE4">
            <w:pPr>
              <w:pStyle w:val="TableText"/>
              <w:keepNext/>
              <w:jc w:val="right"/>
              <w:rPr>
                <w:sz w:val="18"/>
                <w:szCs w:val="18"/>
              </w:rPr>
            </w:pPr>
            <w:r w:rsidRPr="002513B4">
              <w:rPr>
                <w:sz w:val="18"/>
                <w:szCs w:val="18"/>
              </w:rPr>
              <w:t>Payer</w:t>
            </w:r>
          </w:p>
          <w:p w14:paraId="1E46F7C1" w14:textId="77777777" w:rsidR="00EE74F9" w:rsidRPr="002513B4" w:rsidRDefault="00A1764A" w:rsidP="00AF6BE4">
            <w:pPr>
              <w:pStyle w:val="TableText"/>
              <w:keepNext/>
              <w:jc w:val="right"/>
              <w:rPr>
                <w:sz w:val="18"/>
                <w:szCs w:val="18"/>
              </w:rPr>
            </w:pPr>
            <w:r w:rsidRPr="002513B4">
              <w:rPr>
                <w:sz w:val="18"/>
                <w:szCs w:val="18"/>
              </w:rPr>
              <w:t>&lt;</w:t>
            </w:r>
            <w:r w:rsidR="00EE74F9" w:rsidRPr="002513B4">
              <w:rPr>
                <w:sz w:val="18"/>
                <w:szCs w:val="18"/>
              </w:rPr>
              <w:t>payer-other</w:t>
            </w:r>
            <w:r w:rsidRPr="002513B4">
              <w:rPr>
                <w:sz w:val="18"/>
                <w:szCs w:val="18"/>
              </w:rPr>
              <w:t>&gt;</w:t>
            </w:r>
          </w:p>
        </w:tc>
        <w:tc>
          <w:tcPr>
            <w:tcW w:w="2720" w:type="dxa"/>
          </w:tcPr>
          <w:p w14:paraId="239B642F" w14:textId="77777777" w:rsidR="00EE74F9" w:rsidRPr="002513B4" w:rsidRDefault="00EE74F9" w:rsidP="00C553FE">
            <w:pPr>
              <w:pStyle w:val="TableText"/>
              <w:keepNext/>
              <w:rPr>
                <w:sz w:val="18"/>
                <w:szCs w:val="18"/>
              </w:rPr>
            </w:pPr>
            <w:r w:rsidRPr="002513B4">
              <w:rPr>
                <w:sz w:val="18"/>
                <w:szCs w:val="18"/>
              </w:rPr>
              <w:t>1 = Other</w:t>
            </w:r>
          </w:p>
          <w:p w14:paraId="1B5F13FA" w14:textId="77777777" w:rsidR="00EE74F9" w:rsidRPr="002513B4" w:rsidRDefault="00EE74F9" w:rsidP="00C553FE">
            <w:pPr>
              <w:pStyle w:val="TableText"/>
              <w:keepNext/>
              <w:rPr>
                <w:sz w:val="18"/>
                <w:szCs w:val="18"/>
              </w:rPr>
            </w:pPr>
            <w:r w:rsidRPr="002513B4">
              <w:rPr>
                <w:sz w:val="18"/>
                <w:szCs w:val="18"/>
              </w:rPr>
              <w:t>A = Assumed</w:t>
            </w:r>
          </w:p>
          <w:p w14:paraId="298E1A70" w14:textId="77777777" w:rsidR="00EE74F9" w:rsidRPr="002513B4" w:rsidRDefault="00EE74F9" w:rsidP="00C553FE">
            <w:pPr>
              <w:pStyle w:val="TableText"/>
              <w:keepNext/>
              <w:rPr>
                <w:sz w:val="18"/>
                <w:szCs w:val="18"/>
                <w:highlight w:val="yellow"/>
              </w:rPr>
            </w:pPr>
            <w:r w:rsidRPr="002513B4">
              <w:rPr>
                <w:sz w:val="18"/>
                <w:szCs w:val="18"/>
              </w:rPr>
              <w:t>M = Unknown/Missing</w:t>
            </w:r>
          </w:p>
        </w:tc>
      </w:tr>
      <w:bookmarkEnd w:id="371"/>
    </w:tbl>
    <w:p w14:paraId="4A67B435" w14:textId="77777777" w:rsidR="00EE74F9" w:rsidRPr="002513B4" w:rsidRDefault="00EE74F9" w:rsidP="00EE74F9">
      <w:pPr>
        <w:pStyle w:val="Source"/>
        <w:rPr>
          <w:lang w:val="en-US"/>
        </w:rPr>
      </w:pPr>
    </w:p>
    <w:p w14:paraId="07792AD3" w14:textId="77777777" w:rsidR="00046B3C" w:rsidRPr="002513B4" w:rsidRDefault="00046B3C" w:rsidP="00E9671D">
      <w:pPr>
        <w:pStyle w:val="ListBullet"/>
      </w:pPr>
      <w:r w:rsidRPr="002513B4">
        <w:rPr>
          <w:b/>
          <w:bCs/>
          <w:color w:val="1F497D"/>
        </w:rPr>
        <w:t>HMO Indicator</w:t>
      </w:r>
      <w:r w:rsidRPr="002513B4">
        <w:rPr>
          <w:color w:val="1F497D"/>
        </w:rPr>
        <w:t xml:space="preserve">. </w:t>
      </w:r>
      <w:r w:rsidRPr="002513B4">
        <w:t>This is to indicate if the patient is enrolled in a health maintenance organization (HMO). This indicator should be coded Yes (“1</w:t>
      </w:r>
      <w:r w:rsidR="007E71E9" w:rsidRPr="002513B4">
        <w:t>”</w:t>
      </w:r>
      <w:r w:rsidRPr="002513B4">
        <w:t>) if the patient is enrolled in a Medicare Advantage plan or a Medicaid managed care plan.</w:t>
      </w:r>
    </w:p>
    <w:p w14:paraId="4E6CA4C3" w14:textId="77777777" w:rsidR="00046B3C" w:rsidRPr="002513B4" w:rsidRDefault="00046B3C" w:rsidP="008623EF">
      <w:pPr>
        <w:pStyle w:val="ListBullet"/>
      </w:pPr>
      <w:r w:rsidRPr="002513B4">
        <w:rPr>
          <w:b/>
          <w:bCs/>
          <w:color w:val="1F497D"/>
        </w:rPr>
        <w:t>Dual Eligibility</w:t>
      </w:r>
      <w:r w:rsidRPr="002513B4">
        <w:rPr>
          <w:color w:val="1F497D"/>
        </w:rPr>
        <w:t xml:space="preserve">. </w:t>
      </w:r>
      <w:r w:rsidRPr="002513B4">
        <w:t xml:space="preserve">This is to indicate if the patient is dually eligible for Medicare and Medicaid coverage. </w:t>
      </w:r>
      <w:r w:rsidR="008B0C67" w:rsidRPr="002513B4">
        <w:t xml:space="preserve">This indicator should be coded Yes (“1’) if the patient is dually eligible. </w:t>
      </w:r>
    </w:p>
    <w:p w14:paraId="42AD488E" w14:textId="0EABB5F0" w:rsidR="00A734C4" w:rsidRPr="002513B4" w:rsidRDefault="00061198" w:rsidP="00E9671D">
      <w:pPr>
        <w:pStyle w:val="ListBullet"/>
      </w:pPr>
      <w:r w:rsidRPr="002513B4">
        <w:rPr>
          <w:b/>
          <w:bCs/>
          <w:color w:val="1F497D"/>
        </w:rPr>
        <w:t>ESRD Indicator</w:t>
      </w:r>
      <w:r w:rsidRPr="002513B4">
        <w:rPr>
          <w:color w:val="1F497D"/>
        </w:rPr>
        <w:t xml:space="preserve">. </w:t>
      </w:r>
      <w:r w:rsidRPr="002513B4">
        <w:t xml:space="preserve">This is the indicator of whether the patient has End-Stage Rental Disease. This indicator should be coded Yes (“1”) if any of the following </w:t>
      </w:r>
      <w:r w:rsidR="000E704D" w:rsidRPr="002513B4">
        <w:t xml:space="preserve">ICD-10 </w:t>
      </w:r>
      <w:r w:rsidRPr="002513B4">
        <w:t xml:space="preserve">diagnosis codes are present: I12.0, I13.11, I13.2, N18.6, Z91.15, or Z99.2. </w:t>
      </w:r>
    </w:p>
    <w:tbl>
      <w:tblPr>
        <w:tblStyle w:val="TableGrid"/>
        <w:tblW w:w="0" w:type="auto"/>
        <w:tblLook w:val="04A0" w:firstRow="1" w:lastRow="0" w:firstColumn="1" w:lastColumn="0" w:noHBand="0" w:noVBand="1"/>
      </w:tblPr>
      <w:tblGrid>
        <w:gridCol w:w="9350"/>
      </w:tblGrid>
      <w:tr w:rsidR="002572FB" w:rsidRPr="002513B4" w14:paraId="3BA6780B" w14:textId="77777777" w:rsidTr="0084282E">
        <w:trPr>
          <w:cantSplit/>
          <w:tblHeader/>
        </w:trPr>
        <w:tc>
          <w:tcPr>
            <w:tcW w:w="9350" w:type="dxa"/>
            <w:shd w:val="clear" w:color="auto" w:fill="D9D9D9"/>
          </w:tcPr>
          <w:p w14:paraId="0CC558CA" w14:textId="77777777" w:rsidR="002572FB" w:rsidRPr="002513B4" w:rsidRDefault="002572FB" w:rsidP="002572FB">
            <w:r w:rsidRPr="002513B4">
              <w:rPr>
                <w:b/>
                <w:bCs/>
              </w:rPr>
              <w:lastRenderedPageBreak/>
              <w:t>NOTE</w:t>
            </w:r>
            <w:r w:rsidRPr="002513B4">
              <w:t xml:space="preserve">: For Activities of Daily Living (ADLs), HHAs can provide either the total count of ADLs for which the patient is not fully independent and/or the code for each of the five individual ADL data elements on the monthly patient information file that they submit to the survey vendor. </w:t>
            </w:r>
          </w:p>
          <w:p w14:paraId="09EBF1C3" w14:textId="77777777" w:rsidR="002572FB" w:rsidRPr="002513B4" w:rsidRDefault="002572FB" w:rsidP="002572FB">
            <w:pPr>
              <w:spacing w:after="120"/>
            </w:pPr>
            <w:r w:rsidRPr="002513B4">
              <w:t>The vendor should include the same information received from the HHA in the XML data file. That is, the vendor should provide in its XML file the five individual ADL counts, or the total count of ADL deficits, or both if provided by the HHA. HHCAHPS Survey vendors are not allowed to calculate the total count of ADLs for which the sample patient is not fully independent.</w:t>
            </w:r>
          </w:p>
        </w:tc>
      </w:tr>
    </w:tbl>
    <w:p w14:paraId="7C580C4B" w14:textId="77777777" w:rsidR="002E37F9" w:rsidRPr="002513B4" w:rsidRDefault="00061198" w:rsidP="00503171">
      <w:pPr>
        <w:pStyle w:val="ListBullet"/>
        <w:spacing w:before="240" w:after="120"/>
      </w:pPr>
      <w:r w:rsidRPr="002513B4">
        <w:rPr>
          <w:b/>
          <w:bCs/>
          <w:color w:val="1F497D"/>
        </w:rPr>
        <w:t>ADL Deficits</w:t>
      </w:r>
      <w:r w:rsidRPr="002513B4">
        <w:rPr>
          <w:color w:val="1F497D"/>
        </w:rPr>
        <w:t xml:space="preserve">. </w:t>
      </w:r>
      <w:r w:rsidRPr="002513B4">
        <w:t xml:space="preserve">This is the total count of ADLs for which the patient is not fully independent. </w:t>
      </w:r>
      <w:r w:rsidR="002E37F9" w:rsidRPr="002513B4">
        <w:t xml:space="preserve">If the HHA provides this total count of ADL, it should be the total number of the five ADL data elements not coded as a “0” as taken from OASIS. </w:t>
      </w:r>
    </w:p>
    <w:p w14:paraId="58DC9254" w14:textId="77777777" w:rsidR="00061198" w:rsidRPr="002513B4" w:rsidRDefault="002E37F9" w:rsidP="00503171">
      <w:pPr>
        <w:pStyle w:val="ListContinue"/>
      </w:pPr>
      <w:r w:rsidRPr="002513B4">
        <w:t>If an HHA submits a value for the ADL deficits total count data element that exceeds 5, vendors should recode this data element to “5.”</w:t>
      </w:r>
    </w:p>
    <w:p w14:paraId="20E68EBD" w14:textId="77777777" w:rsidR="00061198" w:rsidRPr="002513B4" w:rsidRDefault="00061198" w:rsidP="00E9671D">
      <w:pPr>
        <w:pStyle w:val="ListBullet"/>
      </w:pPr>
      <w:r w:rsidRPr="002513B4">
        <w:rPr>
          <w:b/>
          <w:bCs/>
          <w:color w:val="1F497D"/>
        </w:rPr>
        <w:t>Individual ADL Deficits</w:t>
      </w:r>
      <w:r w:rsidRPr="002513B4">
        <w:rPr>
          <w:color w:val="1F497D"/>
        </w:rPr>
        <w:t xml:space="preserve">. </w:t>
      </w:r>
      <w:r w:rsidRPr="002513B4">
        <w:t xml:space="preserve">The HHA should report the five individual ADL codes as taken from the list in the patient’s OASIS assessment. They are Ability to Dress Upper Body (M1810), Ability to Dress Lower Body (M1820), Bathing (M1830), Toilet Transferring (M1840), and Transferring (M1850). When reporting these ADL codes, the HHA must use the most current code on file for those data elements. </w:t>
      </w:r>
    </w:p>
    <w:p w14:paraId="47FEA38E" w14:textId="77777777" w:rsidR="00061198" w:rsidRPr="002513B4" w:rsidRDefault="00061198" w:rsidP="00C74FD2">
      <w:pPr>
        <w:pStyle w:val="ListContinue"/>
        <w:spacing w:after="240"/>
      </w:pPr>
      <w:r w:rsidRPr="002513B4">
        <w:t>If the HHA provides the OASIS values for the five individual ADL data elements on its file, the vendor should enter the code provided for each of the five ADLs that were assessed for that patient on the XML</w:t>
      </w:r>
      <w:r w:rsidR="002E37F9" w:rsidRPr="002513B4">
        <w:t xml:space="preserve"> data</w:t>
      </w:r>
      <w:r w:rsidRPr="002513B4">
        <w:t xml:space="preserve"> file. The only acceptable range of codes for each of the five </w:t>
      </w:r>
      <w:r w:rsidR="002E37F9" w:rsidRPr="002513B4">
        <w:t xml:space="preserve">individual </w:t>
      </w:r>
      <w:r w:rsidRPr="002513B4">
        <w:t xml:space="preserve">ADL Deficits is </w:t>
      </w:r>
      <w:r w:rsidR="002E37F9" w:rsidRPr="002513B4">
        <w:t>“</w:t>
      </w:r>
      <w:r w:rsidRPr="002513B4">
        <w:t>0</w:t>
      </w:r>
      <w:r w:rsidR="002E37F9" w:rsidRPr="002513B4">
        <w:t>” to “</w:t>
      </w:r>
      <w:r w:rsidRPr="002513B4">
        <w:t>5</w:t>
      </w:r>
      <w:r w:rsidR="002E37F9" w:rsidRPr="002513B4">
        <w:t>”</w:t>
      </w:r>
      <w:r w:rsidRPr="002513B4">
        <w:t xml:space="preserve"> and </w:t>
      </w:r>
      <w:r w:rsidR="002E37F9" w:rsidRPr="002513B4">
        <w:t>“</w:t>
      </w:r>
      <w:r w:rsidRPr="002513B4">
        <w:t>M</w:t>
      </w:r>
      <w:r w:rsidR="002E37F9" w:rsidRPr="002513B4">
        <w:t>”</w:t>
      </w:r>
      <w:r w:rsidRPr="002513B4">
        <w:t xml:space="preserve"> (missing). </w:t>
      </w:r>
    </w:p>
    <w:p w14:paraId="0ED54F96" w14:textId="77777777" w:rsidR="00305958" w:rsidRPr="002513B4" w:rsidRDefault="00305958" w:rsidP="00305958">
      <w:pPr>
        <w:pStyle w:val="ListBullet"/>
      </w:pPr>
      <w:r w:rsidRPr="002513B4">
        <w:rPr>
          <w:b/>
          <w:color w:val="1F497D"/>
        </w:rPr>
        <w:t>Final Survey Status.</w:t>
      </w:r>
      <w:r w:rsidRPr="002513B4">
        <w:rPr>
          <w:color w:val="1F497D"/>
        </w:rPr>
        <w:t xml:space="preserve"> </w:t>
      </w:r>
      <w:r w:rsidRPr="002513B4">
        <w:t xml:space="preserve">This is the 3-digit disposition code, or status code, assigned by the survey vendor to indicate the final status of the sampled patient record. A list of HHCAHPS Survey final disposition codes and code descriptions can be found in </w:t>
      </w:r>
      <w:r w:rsidRPr="002513B4">
        <w:rPr>
          <w:b/>
          <w:i/>
        </w:rPr>
        <w:t>Table 9.1</w:t>
      </w:r>
      <w:r w:rsidRPr="002513B4">
        <w:t>.</w:t>
      </w:r>
    </w:p>
    <w:p w14:paraId="285AEE88" w14:textId="77777777" w:rsidR="00305958" w:rsidRPr="002513B4" w:rsidRDefault="00305958" w:rsidP="00305958">
      <w:pPr>
        <w:pStyle w:val="ListBullet"/>
      </w:pPr>
      <w:r w:rsidRPr="002513B4">
        <w:rPr>
          <w:b/>
          <w:color w:val="1F497D"/>
        </w:rPr>
        <w:t>Survey Language.</w:t>
      </w:r>
      <w:r w:rsidRPr="002513B4">
        <w:rPr>
          <w:color w:val="1F497D"/>
        </w:rPr>
        <w:t xml:space="preserve"> </w:t>
      </w:r>
      <w:r w:rsidRPr="002513B4">
        <w:t>The Survey Language included in the Patient Administrative Data Record is the identified approved language in which the patient completed the survey, either English (code “1”), Spanish (code “2”), Chinese (code “3”), Russian (code “4”), Vietnamese (“5”), or Armenian (“6”). The Survey Language variable must be coded</w:t>
      </w:r>
      <w:r w:rsidR="00160CEE" w:rsidRPr="002513B4">
        <w:t xml:space="preserve"> “1” through “6” </w:t>
      </w:r>
      <w:r w:rsidRPr="002513B4">
        <w:t>if one of the following two criteria are met: the mail</w:t>
      </w:r>
      <w:r w:rsidR="00160CEE" w:rsidRPr="002513B4">
        <w:t xml:space="preserve"> or </w:t>
      </w:r>
      <w:r w:rsidRPr="002513B4">
        <w:t>telephone survey resulted in a completed survey (code 110</w:t>
      </w:r>
      <w:r w:rsidR="00160CEE" w:rsidRPr="002513B4">
        <w:t xml:space="preserve"> or</w:t>
      </w:r>
      <w:r w:rsidRPr="002513B4">
        <w:t xml:space="preserve"> 120, respectively) or a breakoff interview (code 310) in one of the approved languages. Note: If the survey was administered by telephone, the Survey Language variable must be coded either a “1,” “2,” “</w:t>
      </w:r>
      <w:r w:rsidR="00160CEE" w:rsidRPr="002513B4">
        <w:t>4,</w:t>
      </w:r>
      <w:r w:rsidRPr="002513B4">
        <w:t>”</w:t>
      </w:r>
      <w:r w:rsidR="00160CEE" w:rsidRPr="002513B4">
        <w:t xml:space="preserve"> or “5”</w:t>
      </w:r>
      <w:r w:rsidRPr="002513B4">
        <w:t xml:space="preserve"> since the </w:t>
      </w:r>
      <w:r w:rsidR="00160CEE" w:rsidRPr="002513B4">
        <w:t>HH</w:t>
      </w:r>
      <w:r w:rsidRPr="002513B4">
        <w:t xml:space="preserve">CAHPS telephone survey is only </w:t>
      </w:r>
      <w:r w:rsidRPr="002513B4">
        <w:lastRenderedPageBreak/>
        <w:t>available in English, Spanish</w:t>
      </w:r>
      <w:r w:rsidR="00160CEE" w:rsidRPr="002513B4">
        <w:t>, Russian and Vietnamese</w:t>
      </w:r>
      <w:r w:rsidRPr="002513B4">
        <w:t xml:space="preserve">. Because a value is required for this variable, there may be instances when the code for </w:t>
      </w:r>
      <w:r w:rsidR="00160CEE" w:rsidRPr="002513B4">
        <w:t>Missing</w:t>
      </w:r>
      <w:r w:rsidRPr="002513B4">
        <w:t xml:space="preserve"> (“</w:t>
      </w:r>
      <w:r w:rsidR="00160CEE" w:rsidRPr="002513B4">
        <w:t>M</w:t>
      </w:r>
      <w:r w:rsidRPr="002513B4">
        <w:t xml:space="preserve">”) should be applied (i.e., all scenarios where the survey does not result in a complete </w:t>
      </w:r>
      <w:r w:rsidR="007E71E9" w:rsidRPr="002513B4">
        <w:t>[</w:t>
      </w:r>
      <w:r w:rsidRPr="002513B4">
        <w:t>code 110</w:t>
      </w:r>
      <w:r w:rsidR="00160CEE" w:rsidRPr="002513B4">
        <w:t xml:space="preserve"> or </w:t>
      </w:r>
      <w:r w:rsidRPr="002513B4">
        <w:t>120</w:t>
      </w:r>
      <w:r w:rsidR="007E71E9" w:rsidRPr="002513B4">
        <w:t>]</w:t>
      </w:r>
      <w:r w:rsidRPr="002513B4">
        <w:t xml:space="preserve"> or a breakoff </w:t>
      </w:r>
      <w:r w:rsidR="007E71E9" w:rsidRPr="002513B4">
        <w:t>[</w:t>
      </w:r>
      <w:r w:rsidRPr="002513B4">
        <w:t>code 310</w:t>
      </w:r>
      <w:r w:rsidR="007E71E9" w:rsidRPr="002513B4">
        <w:t>]</w:t>
      </w:r>
      <w:r w:rsidRPr="002513B4">
        <w:t>).</w:t>
      </w:r>
    </w:p>
    <w:p w14:paraId="437DA45C" w14:textId="0C539185" w:rsidR="00305958" w:rsidRPr="002513B4" w:rsidRDefault="00FD5E47" w:rsidP="00305958">
      <w:pPr>
        <w:pStyle w:val="ListBullet"/>
      </w:pPr>
      <w:r w:rsidRPr="002513B4">
        <w:rPr>
          <w:b/>
          <w:bCs/>
          <w:color w:val="1F497D"/>
        </w:rPr>
        <w:t>Proxy Flag</w:t>
      </w:r>
      <w:r w:rsidRPr="002513B4">
        <w:rPr>
          <w:color w:val="1F497D"/>
        </w:rPr>
        <w:t xml:space="preserve">. </w:t>
      </w:r>
      <w:r w:rsidRPr="002513B4">
        <w:t xml:space="preserve">This is an indicator if a proxy </w:t>
      </w:r>
      <w:r w:rsidR="00477116" w:rsidRPr="002513B4">
        <w:t xml:space="preserve">respondent </w:t>
      </w:r>
      <w:r w:rsidRPr="002513B4">
        <w:t xml:space="preserve">completed the HHCAHPS Survey on behalf of the </w:t>
      </w:r>
      <w:r w:rsidR="00477116" w:rsidRPr="002513B4">
        <w:t xml:space="preserve">sampled </w:t>
      </w:r>
      <w:r w:rsidRPr="002513B4">
        <w:t xml:space="preserve">patient. </w:t>
      </w:r>
      <w:r w:rsidR="00477116" w:rsidRPr="002513B4">
        <w:t xml:space="preserve">See </w:t>
      </w:r>
      <w:r w:rsidR="00477116" w:rsidRPr="002513B4">
        <w:rPr>
          <w:b/>
          <w:bCs/>
          <w:i/>
          <w:iCs/>
        </w:rPr>
        <w:t xml:space="preserve">Chapter </w:t>
      </w:r>
      <w:r w:rsidR="00052BBA" w:rsidRPr="002513B4">
        <w:rPr>
          <w:b/>
          <w:bCs/>
          <w:i/>
          <w:iCs/>
        </w:rPr>
        <w:t>9</w:t>
      </w:r>
      <w:r w:rsidR="00477116" w:rsidRPr="002513B4">
        <w:t xml:space="preserve"> for additional guidance on identifying a proxy for mail and telephone modes. </w:t>
      </w:r>
    </w:p>
    <w:p w14:paraId="461725CD" w14:textId="502AAE2D" w:rsidR="00BC4D5F" w:rsidRPr="002513B4" w:rsidRDefault="00BC4D5F" w:rsidP="00305958">
      <w:pPr>
        <w:pStyle w:val="ListBullet"/>
      </w:pPr>
      <w:r w:rsidRPr="002513B4">
        <w:rPr>
          <w:b/>
          <w:bCs/>
          <w:color w:val="1F497D"/>
        </w:rPr>
        <w:t>Number of Supplemental Questions</w:t>
      </w:r>
      <w:r w:rsidRPr="002513B4">
        <w:rPr>
          <w:color w:val="1F497D"/>
        </w:rPr>
        <w:t xml:space="preserve">. </w:t>
      </w:r>
      <w:r w:rsidRPr="002513B4">
        <w:t xml:space="preserve">This is the total count of HHA-specific supplemental questions included in the HHCAHPS Survey. This could include the 10 supplemental questions </w:t>
      </w:r>
      <w:r w:rsidR="00A202BD" w:rsidRPr="002513B4">
        <w:t xml:space="preserve">available on the </w:t>
      </w:r>
      <w:hyperlink r:id="rId136" w:history="1">
        <w:r w:rsidR="001666D5" w:rsidRPr="002513B4">
          <w:rPr>
            <w:rStyle w:val="Hyperlink"/>
          </w:rPr>
          <w:t>Survey and Protocols web</w:t>
        </w:r>
        <w:r w:rsidR="00DB4C5C" w:rsidRPr="002513B4">
          <w:rPr>
            <w:rStyle w:val="Hyperlink"/>
          </w:rPr>
          <w:t xml:space="preserve"> </w:t>
        </w:r>
        <w:r w:rsidR="001666D5" w:rsidRPr="002513B4">
          <w:rPr>
            <w:rStyle w:val="Hyperlink"/>
          </w:rPr>
          <w:t>page</w:t>
        </w:r>
      </w:hyperlink>
      <w:r w:rsidR="001666D5" w:rsidRPr="002513B4">
        <w:t> </w:t>
      </w:r>
      <w:r w:rsidR="001666D5" w:rsidRPr="002513B4">
        <w:rPr>
          <w:noProof/>
        </w:rPr>
        <w:drawing>
          <wp:inline distT="0" distB="0" distL="0" distR="0" wp14:anchorId="21CCEAC8" wp14:editId="356636F4">
            <wp:extent cx="95250" cy="95250"/>
            <wp:effectExtent l="0" t="0" r="0" b="0"/>
            <wp:docPr id="19331227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666D5" w:rsidRPr="002513B4">
        <w:t xml:space="preserve"> of the </w:t>
      </w:r>
      <w:r w:rsidR="00A202BD" w:rsidRPr="002513B4">
        <w:t xml:space="preserve">HHCAHPS website and linked </w:t>
      </w:r>
      <w:r w:rsidRPr="002513B4">
        <w:t xml:space="preserve">in </w:t>
      </w:r>
      <w:r w:rsidRPr="002513B4">
        <w:rPr>
          <w:b/>
          <w:bCs/>
          <w:i/>
          <w:iCs/>
        </w:rPr>
        <w:t xml:space="preserve">Appendix </w:t>
      </w:r>
      <w:r w:rsidR="00A202BD" w:rsidRPr="002513B4">
        <w:rPr>
          <w:b/>
          <w:bCs/>
          <w:i/>
          <w:iCs/>
        </w:rPr>
        <w:t>A</w:t>
      </w:r>
      <w:r w:rsidRPr="002513B4">
        <w:t xml:space="preserve">, the “Consent to Share Responses” question, and other HHA-specific questions. </w:t>
      </w:r>
    </w:p>
    <w:p w14:paraId="01121526" w14:textId="36CA1737" w:rsidR="008623EF" w:rsidRPr="002513B4" w:rsidRDefault="008623EF" w:rsidP="00503171">
      <w:pPr>
        <w:pStyle w:val="ListBullet"/>
        <w:spacing w:after="120"/>
      </w:pPr>
      <w:r w:rsidRPr="002513B4">
        <w:rPr>
          <w:b/>
          <w:color w:val="1F497D"/>
        </w:rPr>
        <w:t xml:space="preserve">Survey Mode. </w:t>
      </w:r>
      <w:r w:rsidRPr="002513B4">
        <w:t>The Survey Mode included in the Patient Administrative Data Record is the data collection mode the patient used to complete the survey, mail (code “1”)</w:t>
      </w:r>
      <w:r w:rsidR="00EA0055" w:rsidRPr="002513B4">
        <w:t xml:space="preserve"> or</w:t>
      </w:r>
      <w:r w:rsidRPr="002513B4">
        <w:t xml:space="preserve"> telephone (code “2”). </w:t>
      </w:r>
    </w:p>
    <w:p w14:paraId="2DC206F5" w14:textId="77777777" w:rsidR="008623EF" w:rsidRPr="002513B4" w:rsidRDefault="008F312B" w:rsidP="00A62DD9">
      <w:pPr>
        <w:pStyle w:val="ListBullet2"/>
      </w:pPr>
      <w:r w:rsidRPr="002513B4">
        <w:t>All Mail Mode-Only CCNs must be coded as “1” and must meet</w:t>
      </w:r>
      <w:r w:rsidR="008623EF" w:rsidRPr="002513B4">
        <w:t xml:space="preserve"> one of the following two criteria: the mail questionnaire was returned and is a completed survey (code 110), or it is considered a breakoff (code 310). </w:t>
      </w:r>
    </w:p>
    <w:p w14:paraId="0791A8AB" w14:textId="77777777" w:rsidR="008623EF" w:rsidRPr="002513B4" w:rsidRDefault="008623EF" w:rsidP="00A62DD9">
      <w:pPr>
        <w:pStyle w:val="ListBullet2"/>
      </w:pPr>
      <w:r w:rsidRPr="002513B4">
        <w:t xml:space="preserve">The Survey Mode variable must only be coded a “2” for telephone if one of the following two criteria are met: the vendor spoke to the sampled patient by phone and the interview resulted in a completed interview (code 120), or a breakoff (code 310). </w:t>
      </w:r>
    </w:p>
    <w:p w14:paraId="7A0067EB" w14:textId="01E95FCB" w:rsidR="008623EF" w:rsidRPr="002513B4" w:rsidRDefault="008F312B" w:rsidP="00A62DD9">
      <w:pPr>
        <w:pStyle w:val="ListBullet2"/>
      </w:pPr>
      <w:r w:rsidRPr="002513B4">
        <w:t>For mixed mode, t</w:t>
      </w:r>
      <w:r w:rsidR="008623EF" w:rsidRPr="002513B4">
        <w:t xml:space="preserve">he Survey Mode variable must only be coded a “3” </w:t>
      </w:r>
      <w:r w:rsidRPr="002513B4">
        <w:t>if o</w:t>
      </w:r>
      <w:r w:rsidR="008623EF" w:rsidRPr="002513B4">
        <w:t>ne of the two criteria are met: survey data was received and is a completed survey (code 1</w:t>
      </w:r>
      <w:r w:rsidR="00EA0055" w:rsidRPr="002513B4">
        <w:t>1</w:t>
      </w:r>
      <w:r w:rsidR="008623EF" w:rsidRPr="002513B4">
        <w:t>0</w:t>
      </w:r>
      <w:r w:rsidR="00EA0055" w:rsidRPr="002513B4">
        <w:t xml:space="preserve"> or 120</w:t>
      </w:r>
      <w:r w:rsidR="008623EF" w:rsidRPr="002513B4">
        <w:t>), or it is considered a breakoff (code 310).</w:t>
      </w:r>
    </w:p>
    <w:p w14:paraId="7C9FA8FA" w14:textId="0AB5AD89" w:rsidR="008623EF" w:rsidRPr="002513B4" w:rsidRDefault="008623EF" w:rsidP="000A0151">
      <w:pPr>
        <w:pStyle w:val="ListContinue2"/>
        <w:spacing w:after="240" w:line="320" w:lineRule="atLeast"/>
        <w:rPr>
          <w:rFonts w:ascii="Verdana" w:hAnsi="Verdana"/>
        </w:rPr>
      </w:pPr>
      <w:r w:rsidRPr="002513B4">
        <w:rPr>
          <w:rFonts w:ascii="Verdana" w:hAnsi="Verdana"/>
        </w:rPr>
        <w:t xml:space="preserve">Because a value is required for this variable, there may be instances when the code for Not Applicable (“X”) is needed (i.e., all scenarios where the survey does not result in a complete </w:t>
      </w:r>
      <w:r w:rsidR="007E71E9" w:rsidRPr="002513B4">
        <w:rPr>
          <w:rFonts w:ascii="Verdana" w:hAnsi="Verdana"/>
        </w:rPr>
        <w:t>[</w:t>
      </w:r>
      <w:r w:rsidRPr="002513B4">
        <w:rPr>
          <w:rFonts w:ascii="Verdana" w:hAnsi="Verdana"/>
        </w:rPr>
        <w:t>code 110</w:t>
      </w:r>
      <w:r w:rsidR="00EA0055" w:rsidRPr="002513B4">
        <w:rPr>
          <w:rFonts w:ascii="Verdana" w:hAnsi="Verdana"/>
        </w:rPr>
        <w:t xml:space="preserve"> or</w:t>
      </w:r>
      <w:r w:rsidRPr="002513B4">
        <w:rPr>
          <w:rFonts w:ascii="Verdana" w:hAnsi="Verdana"/>
        </w:rPr>
        <w:t xml:space="preserve"> 120</w:t>
      </w:r>
      <w:r w:rsidR="007E71E9" w:rsidRPr="002513B4">
        <w:rPr>
          <w:rFonts w:ascii="Verdana" w:hAnsi="Verdana"/>
        </w:rPr>
        <w:t>]</w:t>
      </w:r>
      <w:r w:rsidRPr="002513B4">
        <w:rPr>
          <w:rFonts w:ascii="Verdana" w:hAnsi="Verdana"/>
        </w:rPr>
        <w:t xml:space="preserve"> or a breakoff </w:t>
      </w:r>
      <w:r w:rsidR="007E71E9" w:rsidRPr="002513B4">
        <w:rPr>
          <w:rFonts w:ascii="Verdana" w:hAnsi="Verdana"/>
        </w:rPr>
        <w:t>[</w:t>
      </w:r>
      <w:r w:rsidRPr="002513B4">
        <w:rPr>
          <w:rFonts w:ascii="Verdana" w:hAnsi="Verdana"/>
        </w:rPr>
        <w:t>code 310</w:t>
      </w:r>
      <w:r w:rsidR="007E71E9" w:rsidRPr="002513B4">
        <w:rPr>
          <w:rFonts w:ascii="Verdana" w:hAnsi="Verdana"/>
        </w:rPr>
        <w:t>]</w:t>
      </w:r>
      <w:r w:rsidRPr="002513B4">
        <w:rPr>
          <w:rFonts w:ascii="Verdana" w:hAnsi="Verdana"/>
        </w:rPr>
        <w:t>). For example, if the mail questionnaire is never returned, is received blank, or if the sample member is never reached by phone, or the telephone interview is never initiated, the Survey Mode variable should be coded “X” (Not Applicable).</w:t>
      </w:r>
    </w:p>
    <w:p w14:paraId="14227822" w14:textId="6378DC72" w:rsidR="00EE74F9" w:rsidRPr="002513B4" w:rsidRDefault="00A50434" w:rsidP="00EE74F9">
      <w:pPr>
        <w:pStyle w:val="Heading4"/>
        <w:rPr>
          <w:lang w:val="en-US"/>
        </w:rPr>
      </w:pPr>
      <w:r w:rsidRPr="002513B4">
        <w:rPr>
          <w:lang w:val="en-US"/>
        </w:rPr>
        <w:t xml:space="preserve">10.5.3 </w:t>
      </w:r>
      <w:r w:rsidR="00470A61" w:rsidRPr="002513B4">
        <w:rPr>
          <w:lang w:val="en-US"/>
        </w:rPr>
        <w:tab/>
      </w:r>
      <w:r w:rsidR="00EE74F9" w:rsidRPr="002513B4">
        <w:rPr>
          <w:lang w:val="en-US"/>
        </w:rPr>
        <w:t>Patient Response Record</w:t>
      </w:r>
    </w:p>
    <w:p w14:paraId="096766D4" w14:textId="77777777" w:rsidR="00EE74F9" w:rsidRPr="002513B4" w:rsidRDefault="00EE74F9" w:rsidP="00EE74F9">
      <w:pPr>
        <w:pStyle w:val="BodyText"/>
        <w:rPr>
          <w:lang w:val="en-US"/>
        </w:rPr>
      </w:pPr>
      <w:r w:rsidRPr="002513B4">
        <w:rPr>
          <w:lang w:val="en-US"/>
        </w:rPr>
        <w:t xml:space="preserve">The third </w:t>
      </w:r>
      <w:r w:rsidR="008A50CE" w:rsidRPr="002513B4">
        <w:rPr>
          <w:lang w:val="en-US"/>
        </w:rPr>
        <w:t xml:space="preserve">section </w:t>
      </w:r>
      <w:r w:rsidRPr="002513B4">
        <w:rPr>
          <w:lang w:val="en-US"/>
        </w:rPr>
        <w:t xml:space="preserve">of the </w:t>
      </w:r>
      <w:r w:rsidR="00D818AA" w:rsidRPr="002513B4">
        <w:rPr>
          <w:lang w:val="en-US"/>
        </w:rPr>
        <w:t>XML data file</w:t>
      </w:r>
      <w:r w:rsidRPr="002513B4">
        <w:rPr>
          <w:lang w:val="en-US"/>
        </w:rPr>
        <w:t xml:space="preserve"> </w:t>
      </w:r>
      <w:r w:rsidR="00C240B4" w:rsidRPr="002513B4">
        <w:rPr>
          <w:lang w:val="en-US"/>
        </w:rPr>
        <w:t xml:space="preserve">is </w:t>
      </w:r>
      <w:r w:rsidRPr="002513B4">
        <w:rPr>
          <w:lang w:val="en-US"/>
        </w:rPr>
        <w:t xml:space="preserve">the </w:t>
      </w:r>
      <w:r w:rsidR="00C240B4" w:rsidRPr="002513B4">
        <w:rPr>
          <w:lang w:val="en-US"/>
        </w:rPr>
        <w:t>P</w:t>
      </w:r>
      <w:r w:rsidRPr="002513B4">
        <w:rPr>
          <w:lang w:val="en-US"/>
        </w:rPr>
        <w:t xml:space="preserve">atient </w:t>
      </w:r>
      <w:r w:rsidR="00C240B4" w:rsidRPr="002513B4">
        <w:rPr>
          <w:lang w:val="en-US"/>
        </w:rPr>
        <w:t>S</w:t>
      </w:r>
      <w:r w:rsidRPr="002513B4">
        <w:rPr>
          <w:lang w:val="en-US"/>
        </w:rPr>
        <w:t xml:space="preserve">urvey </w:t>
      </w:r>
      <w:r w:rsidR="00C240B4" w:rsidRPr="002513B4">
        <w:rPr>
          <w:lang w:val="en-US"/>
        </w:rPr>
        <w:t>R</w:t>
      </w:r>
      <w:r w:rsidRPr="002513B4">
        <w:rPr>
          <w:lang w:val="en-US"/>
        </w:rPr>
        <w:t xml:space="preserve">esponse </w:t>
      </w:r>
      <w:r w:rsidR="00C240B4" w:rsidRPr="002513B4">
        <w:rPr>
          <w:lang w:val="en-US"/>
        </w:rPr>
        <w:t>R</w:t>
      </w:r>
      <w:r w:rsidRPr="002513B4">
        <w:rPr>
          <w:lang w:val="en-US"/>
        </w:rPr>
        <w:t xml:space="preserve">ecord, which contains the responses to the HHCAHPS Survey from every </w:t>
      </w:r>
      <w:r w:rsidR="00C240B4" w:rsidRPr="002513B4">
        <w:rPr>
          <w:lang w:val="en-US"/>
        </w:rPr>
        <w:t>respondent</w:t>
      </w:r>
      <w:r w:rsidRPr="002513B4">
        <w:rPr>
          <w:lang w:val="en-US"/>
        </w:rPr>
        <w:t xml:space="preserve"> who completed </w:t>
      </w:r>
      <w:r w:rsidR="00C240B4" w:rsidRPr="002513B4">
        <w:rPr>
          <w:lang w:val="en-US"/>
        </w:rPr>
        <w:t xml:space="preserve">or partially completed </w:t>
      </w:r>
      <w:r w:rsidR="001C37E6" w:rsidRPr="002513B4">
        <w:rPr>
          <w:lang w:val="en-US"/>
        </w:rPr>
        <w:t xml:space="preserve">the </w:t>
      </w:r>
      <w:r w:rsidRPr="002513B4">
        <w:rPr>
          <w:lang w:val="en-US"/>
        </w:rPr>
        <w:t xml:space="preserve">survey during the sample month. </w:t>
      </w:r>
      <w:r w:rsidRPr="002513B4">
        <w:rPr>
          <w:b/>
          <w:bCs/>
          <w:lang w:val="en-US"/>
        </w:rPr>
        <w:t xml:space="preserve">Only the HHCAHPS Survey questions should be submitted. Do not submit responses to non-HHCAHPS questions </w:t>
      </w:r>
      <w:r w:rsidR="005D02AE" w:rsidRPr="002513B4">
        <w:rPr>
          <w:b/>
          <w:bCs/>
          <w:lang w:val="en-US"/>
        </w:rPr>
        <w:t xml:space="preserve">(i.e., supplemental questions) </w:t>
      </w:r>
      <w:r w:rsidRPr="002513B4">
        <w:rPr>
          <w:b/>
          <w:bCs/>
          <w:lang w:val="en-US"/>
        </w:rPr>
        <w:t xml:space="preserve">that </w:t>
      </w:r>
      <w:r w:rsidR="005D02AE" w:rsidRPr="002513B4">
        <w:rPr>
          <w:b/>
          <w:bCs/>
          <w:lang w:val="en-US"/>
        </w:rPr>
        <w:t>were</w:t>
      </w:r>
      <w:r w:rsidRPr="002513B4">
        <w:rPr>
          <w:b/>
          <w:bCs/>
          <w:lang w:val="en-US"/>
        </w:rPr>
        <w:t xml:space="preserve"> added to the survey instrument.</w:t>
      </w:r>
      <w:r w:rsidRPr="002513B4">
        <w:rPr>
          <w:lang w:val="en-US"/>
        </w:rPr>
        <w:t xml:space="preserve"> The only records that should be included are those with a final survey disposition code for a </w:t>
      </w:r>
      <w:r w:rsidRPr="002513B4">
        <w:rPr>
          <w:lang w:val="en-US"/>
        </w:rPr>
        <w:lastRenderedPageBreak/>
        <w:t xml:space="preserve">completed survey (Codes 110 and 120) and </w:t>
      </w:r>
      <w:r w:rsidR="005D02AE" w:rsidRPr="002513B4">
        <w:rPr>
          <w:lang w:val="en-US"/>
        </w:rPr>
        <w:t>breakoff (</w:t>
      </w:r>
      <w:r w:rsidRPr="002513B4">
        <w:rPr>
          <w:lang w:val="en-US"/>
        </w:rPr>
        <w:t xml:space="preserve">Code 310). For all patient response records that are included on the file, all response fields must have a legitimate value, which can include “Missing,” or “Not </w:t>
      </w:r>
      <w:r w:rsidR="005D02AE" w:rsidRPr="002513B4">
        <w:rPr>
          <w:lang w:val="en-US"/>
        </w:rPr>
        <w:t>A</w:t>
      </w:r>
      <w:r w:rsidRPr="002513B4">
        <w:rPr>
          <w:lang w:val="en-US"/>
        </w:rPr>
        <w:t>pplicable.”</w:t>
      </w:r>
    </w:p>
    <w:p w14:paraId="5EE08883" w14:textId="5DF165C5" w:rsidR="00EE74F9" w:rsidRPr="002513B4" w:rsidRDefault="00EE74F9" w:rsidP="00EE74F9">
      <w:pPr>
        <w:pStyle w:val="BodyText"/>
        <w:rPr>
          <w:lang w:val="en-US"/>
        </w:rPr>
      </w:pPr>
      <w:r w:rsidRPr="002513B4">
        <w:rPr>
          <w:lang w:val="en-US"/>
        </w:rPr>
        <w:t>The decision whether to have a vendor key the responses to the two open-ended survey items</w:t>
      </w:r>
      <w:r w:rsidR="00866004" w:rsidRPr="002513B4">
        <w:rPr>
          <w:lang w:val="en-US"/>
        </w:rPr>
        <w:t xml:space="preserve"> </w:t>
      </w:r>
      <w:r w:rsidRPr="002513B4">
        <w:rPr>
          <w:lang w:val="en-US"/>
        </w:rPr>
        <w:t>―</w:t>
      </w:r>
      <w:r w:rsidR="00866004" w:rsidRPr="002513B4">
        <w:rPr>
          <w:lang w:val="en-US"/>
        </w:rPr>
        <w:t xml:space="preserve"> </w:t>
      </w:r>
      <w:r w:rsidR="00A202BD" w:rsidRPr="002513B4">
        <w:rPr>
          <w:lang w:val="en-US"/>
        </w:rPr>
        <w:t>“</w:t>
      </w:r>
      <w:r w:rsidRPr="002513B4">
        <w:rPr>
          <w:lang w:val="en-US"/>
        </w:rPr>
        <w:t>Some other language” (response option 3) in Q</w:t>
      </w:r>
      <w:r w:rsidR="00A202BD" w:rsidRPr="002513B4">
        <w:rPr>
          <w:lang w:val="en-US"/>
        </w:rPr>
        <w:t>23</w:t>
      </w:r>
      <w:r w:rsidRPr="002513B4">
        <w:rPr>
          <w:lang w:val="en-US"/>
        </w:rPr>
        <w:t xml:space="preserve"> and “Helped in some other way” (response option 5) in Q</w:t>
      </w:r>
      <w:r w:rsidR="00A202BD" w:rsidRPr="002513B4">
        <w:rPr>
          <w:lang w:val="en-US"/>
        </w:rPr>
        <w:t>25</w:t>
      </w:r>
      <w:r w:rsidRPr="002513B4">
        <w:rPr>
          <w:lang w:val="en-US"/>
        </w:rPr>
        <w:t xml:space="preserve">―is up to each individual HHA in consultation with its vendor. Vendors should not include responses to open-ended survey items on the </w:t>
      </w:r>
      <w:r w:rsidR="00D818AA" w:rsidRPr="002513B4">
        <w:rPr>
          <w:lang w:val="en-US"/>
        </w:rPr>
        <w:t xml:space="preserve">XML </w:t>
      </w:r>
      <w:r w:rsidRPr="002513B4">
        <w:rPr>
          <w:lang w:val="en-US"/>
        </w:rPr>
        <w:t>data files submitted to the HHCAHPS Data Center. CMS, however, encourages survey vendors to review the open-ended entries so that they can provide feedback to the Coordination Team about adding additional preprinted response options to these survey items if needed.</w:t>
      </w:r>
    </w:p>
    <w:p w14:paraId="66E1FDF4" w14:textId="6AB60E8C" w:rsidR="00EE74F9" w:rsidRPr="002513B4" w:rsidRDefault="00A50434" w:rsidP="00EE74F9">
      <w:pPr>
        <w:pStyle w:val="Heading3"/>
        <w:rPr>
          <w:lang w:val="en-US"/>
        </w:rPr>
      </w:pPr>
      <w:bookmarkStart w:id="372" w:name="_Toc24713390"/>
      <w:bookmarkStart w:id="373" w:name="_Toc217305620"/>
      <w:r w:rsidRPr="002513B4">
        <w:rPr>
          <w:lang w:val="en-US"/>
        </w:rPr>
        <w:t>10.6</w:t>
      </w:r>
      <w:r w:rsidRPr="002513B4">
        <w:rPr>
          <w:lang w:val="en-US"/>
        </w:rPr>
        <w:tab/>
      </w:r>
      <w:r w:rsidR="00EE74F9" w:rsidRPr="002513B4">
        <w:rPr>
          <w:lang w:val="en-US"/>
        </w:rPr>
        <w:t>XML Survey Data File Submission Procedures</w:t>
      </w:r>
      <w:bookmarkEnd w:id="372"/>
      <w:bookmarkEnd w:id="373"/>
    </w:p>
    <w:p w14:paraId="06D856DB" w14:textId="77777777" w:rsidR="00EE74F9" w:rsidRPr="002513B4" w:rsidRDefault="00C55136" w:rsidP="00EE74F9">
      <w:pPr>
        <w:pStyle w:val="BodyText"/>
        <w:rPr>
          <w:lang w:val="en-US"/>
        </w:rPr>
      </w:pPr>
      <w:r w:rsidRPr="002513B4">
        <w:rPr>
          <w:lang w:val="en-US"/>
        </w:rPr>
        <w:t xml:space="preserve">Survey vendors need to log into the secure portion of the </w:t>
      </w:r>
      <w:r w:rsidR="00081B94" w:rsidRPr="002513B4">
        <w:rPr>
          <w:lang w:val="en-US"/>
        </w:rPr>
        <w:t xml:space="preserve">HHCAHPS </w:t>
      </w:r>
      <w:r w:rsidRPr="002513B4">
        <w:rPr>
          <w:lang w:val="en-US"/>
        </w:rPr>
        <w:t xml:space="preserve">website to access the data submission tool. </w:t>
      </w:r>
      <w:r w:rsidR="00EE74F9" w:rsidRPr="002513B4">
        <w:rPr>
          <w:lang w:val="en-US"/>
        </w:rPr>
        <w:t xml:space="preserve">Prior to submitting XML data files, </w:t>
      </w:r>
      <w:r w:rsidR="006F1F23" w:rsidRPr="002513B4">
        <w:rPr>
          <w:lang w:val="en-US"/>
        </w:rPr>
        <w:t xml:space="preserve">it is recommended that </w:t>
      </w:r>
      <w:r w:rsidR="00EE74F9" w:rsidRPr="002513B4">
        <w:rPr>
          <w:lang w:val="en-US"/>
        </w:rPr>
        <w:t xml:space="preserve">vendors </w:t>
      </w:r>
      <w:r w:rsidRPr="002513B4">
        <w:rPr>
          <w:lang w:val="en-US"/>
        </w:rPr>
        <w:t>run</w:t>
      </w:r>
      <w:r w:rsidR="00EE74F9" w:rsidRPr="002513B4">
        <w:rPr>
          <w:lang w:val="en-US"/>
        </w:rPr>
        <w:t xml:space="preserve"> the</w:t>
      </w:r>
      <w:r w:rsidRPr="002513B4">
        <w:rPr>
          <w:lang w:val="en-US"/>
        </w:rPr>
        <w:t xml:space="preserve"> online</w:t>
      </w:r>
      <w:r w:rsidR="00EE74F9" w:rsidRPr="002513B4">
        <w:rPr>
          <w:lang w:val="en-US"/>
        </w:rPr>
        <w:t xml:space="preserve"> “XML Schema Validation Tool” posted on the HHCAHPS website </w:t>
      </w:r>
      <w:r w:rsidRPr="002513B4">
        <w:rPr>
          <w:lang w:val="en-US"/>
        </w:rPr>
        <w:t xml:space="preserve">for </w:t>
      </w:r>
      <w:r w:rsidR="00EE74F9" w:rsidRPr="002513B4">
        <w:rPr>
          <w:lang w:val="en-US"/>
        </w:rPr>
        <w:t>each data file. This Validation Tool is formatted in acc</w:t>
      </w:r>
      <w:r w:rsidR="00EE74F9" w:rsidRPr="002513B4">
        <w:rPr>
          <w:rStyle w:val="BodyTextChar"/>
          <w:sz w:val="20"/>
          <w:lang w:val="en-US"/>
        </w:rPr>
        <w:t>ordance with the XML Data File Specifications described in this chapter. The Validation Tool con</w:t>
      </w:r>
      <w:r w:rsidR="00EE74F9" w:rsidRPr="002513B4">
        <w:rPr>
          <w:lang w:val="en-US"/>
        </w:rPr>
        <w:t>tains some, but not all, of the same validation checks that are applied when the data file is submitted to the Data Center, so using the Validation Tool in advance will reduce the number of attempts vendor have to make when they submit the data file.</w:t>
      </w:r>
    </w:p>
    <w:p w14:paraId="3488C189" w14:textId="2026EFBC" w:rsidR="00EE74F9" w:rsidRPr="002513B4" w:rsidRDefault="00C55136" w:rsidP="00EE74F9">
      <w:pPr>
        <w:pStyle w:val="BodyText"/>
        <w:rPr>
          <w:lang w:val="en-US"/>
        </w:rPr>
      </w:pPr>
      <w:r w:rsidRPr="002513B4">
        <w:rPr>
          <w:lang w:val="en-US"/>
        </w:rPr>
        <w:t>To submit XML data files</w:t>
      </w:r>
      <w:r w:rsidR="00EE74F9" w:rsidRPr="002513B4">
        <w:rPr>
          <w:lang w:val="en-US"/>
        </w:rPr>
        <w:t xml:space="preserve">, </w:t>
      </w:r>
      <w:r w:rsidR="00A202BD" w:rsidRPr="002513B4">
        <w:rPr>
          <w:lang w:val="en-US"/>
        </w:rPr>
        <w:t>select</w:t>
      </w:r>
      <w:r w:rsidR="00EE74F9" w:rsidRPr="002513B4">
        <w:rPr>
          <w:lang w:val="en-US"/>
        </w:rPr>
        <w:t xml:space="preserve"> “</w:t>
      </w:r>
      <w:r w:rsidR="004A5D90" w:rsidRPr="002513B4">
        <w:rPr>
          <w:lang w:val="en-US"/>
        </w:rPr>
        <w:t>Data Submission Tool</w:t>
      </w:r>
      <w:r w:rsidR="00EE74F9" w:rsidRPr="002513B4">
        <w:rPr>
          <w:lang w:val="en-US"/>
        </w:rPr>
        <w:t xml:space="preserve">” under the </w:t>
      </w:r>
      <w:r w:rsidR="00EE74F9" w:rsidRPr="002513B4">
        <w:rPr>
          <w:i/>
          <w:iCs/>
          <w:lang w:val="en-US"/>
        </w:rPr>
        <w:t>Data Submission</w:t>
      </w:r>
      <w:r w:rsidR="00EE74F9" w:rsidRPr="002513B4">
        <w:rPr>
          <w:lang w:val="en-US"/>
        </w:rPr>
        <w:t xml:space="preserve"> </w:t>
      </w:r>
      <w:r w:rsidR="00BD61B9" w:rsidRPr="002513B4">
        <w:rPr>
          <w:lang w:val="en-US"/>
        </w:rPr>
        <w:t>menu</w:t>
      </w:r>
      <w:r w:rsidR="00EE74F9" w:rsidRPr="002513B4">
        <w:rPr>
          <w:lang w:val="en-US"/>
        </w:rPr>
        <w:t xml:space="preserve">. HHCAHPS Survey vendors can submit data files to the HHCAHPS Data Center in one of two ways: as a single </w:t>
      </w:r>
      <w:r w:rsidR="00D818AA" w:rsidRPr="002513B4">
        <w:rPr>
          <w:lang w:val="en-US"/>
        </w:rPr>
        <w:t>XML data file</w:t>
      </w:r>
      <w:r w:rsidR="00EE74F9" w:rsidRPr="002513B4">
        <w:rPr>
          <w:lang w:val="en-US"/>
        </w:rPr>
        <w:t xml:space="preserve"> or as a ZIP file containing multiple </w:t>
      </w:r>
      <w:r w:rsidR="00D818AA" w:rsidRPr="002513B4">
        <w:rPr>
          <w:lang w:val="en-US"/>
        </w:rPr>
        <w:t>XML data file</w:t>
      </w:r>
      <w:r w:rsidR="00EE74F9" w:rsidRPr="002513B4">
        <w:rPr>
          <w:lang w:val="en-US"/>
        </w:rPr>
        <w:t>s.</w:t>
      </w:r>
    </w:p>
    <w:p w14:paraId="7D758486" w14:textId="77777777" w:rsidR="00EE74F9" w:rsidRPr="002513B4" w:rsidRDefault="00EE74F9" w:rsidP="00EE74F9">
      <w:pPr>
        <w:pStyle w:val="BodyText"/>
        <w:rPr>
          <w:lang w:val="en-US"/>
        </w:rPr>
      </w:pPr>
      <w:r w:rsidRPr="002513B4">
        <w:rPr>
          <w:lang w:val="en-US"/>
        </w:rPr>
        <w:t xml:space="preserve">Vendors should be aware that submitting additional </w:t>
      </w:r>
      <w:r w:rsidR="00D818AA" w:rsidRPr="002513B4">
        <w:rPr>
          <w:lang w:val="en-US"/>
        </w:rPr>
        <w:t>XML data file</w:t>
      </w:r>
      <w:r w:rsidRPr="002513B4">
        <w:rPr>
          <w:lang w:val="en-US"/>
        </w:rPr>
        <w:t>s for a sample month for a CCN will overwrite any previously submitted file for that month, even if that previously submitted file was successfully submitted.</w:t>
      </w:r>
    </w:p>
    <w:p w14:paraId="206A0E21" w14:textId="77777777" w:rsidR="00EE74F9" w:rsidRPr="002513B4" w:rsidRDefault="00EE74F9" w:rsidP="00EE74F9">
      <w:pPr>
        <w:pStyle w:val="BodyText"/>
        <w:rPr>
          <w:lang w:val="en-US"/>
        </w:rPr>
      </w:pPr>
      <w:r w:rsidRPr="002513B4">
        <w:rPr>
          <w:lang w:val="en-US"/>
        </w:rPr>
        <w:t>The data submission steps are summarized as follows:</w:t>
      </w:r>
    </w:p>
    <w:p w14:paraId="1FACCECC" w14:textId="77777777" w:rsidR="00A0491B" w:rsidRPr="002513B4" w:rsidRDefault="00EE74F9" w:rsidP="00576BF4">
      <w:pPr>
        <w:pStyle w:val="ListNumber"/>
        <w:numPr>
          <w:ilvl w:val="0"/>
          <w:numId w:val="35"/>
        </w:numPr>
      </w:pPr>
      <w:r w:rsidRPr="002513B4">
        <w:t>Log onto the HHCAHPS Survey website</w:t>
      </w:r>
      <w:r w:rsidR="00A0491B" w:rsidRPr="002513B4">
        <w:t>.</w:t>
      </w:r>
    </w:p>
    <w:p w14:paraId="43863489" w14:textId="20E7D4C2" w:rsidR="00EE74F9" w:rsidRPr="002513B4" w:rsidRDefault="00A202BD" w:rsidP="003C3E0F">
      <w:pPr>
        <w:pStyle w:val="ListNumber"/>
      </w:pPr>
      <w:r w:rsidRPr="002513B4">
        <w:t>Select</w:t>
      </w:r>
      <w:r w:rsidR="00EE74F9" w:rsidRPr="002513B4">
        <w:t xml:space="preserve"> “Data</w:t>
      </w:r>
      <w:r w:rsidR="00773E5F" w:rsidRPr="002513B4">
        <w:t xml:space="preserve"> Submission Tool</w:t>
      </w:r>
      <w:r w:rsidR="00EE74F9" w:rsidRPr="002513B4">
        <w:t xml:space="preserve">” under the Data Submission </w:t>
      </w:r>
      <w:r w:rsidR="00884F98" w:rsidRPr="002513B4">
        <w:t>menu</w:t>
      </w:r>
      <w:r w:rsidR="00EE74F9" w:rsidRPr="002513B4">
        <w:t>.</w:t>
      </w:r>
      <w:r w:rsidR="00A0491B" w:rsidRPr="002513B4">
        <w:t xml:space="preserve"> The data submission tool page will display (as shown in </w:t>
      </w:r>
      <w:r w:rsidR="00A0491B" w:rsidRPr="002513B4">
        <w:rPr>
          <w:b/>
          <w:bCs/>
          <w:i/>
          <w:iCs/>
        </w:rPr>
        <w:t>Exhibit 10.</w:t>
      </w:r>
      <w:r w:rsidR="004A21D2" w:rsidRPr="002513B4">
        <w:rPr>
          <w:b/>
          <w:bCs/>
          <w:i/>
          <w:iCs/>
        </w:rPr>
        <w:t>5</w:t>
      </w:r>
      <w:r w:rsidR="00A0491B" w:rsidRPr="002513B4">
        <w:t>).</w:t>
      </w:r>
    </w:p>
    <w:p w14:paraId="0E9A501A" w14:textId="36B47A84" w:rsidR="00EE74F9" w:rsidRPr="002513B4" w:rsidRDefault="00A202BD" w:rsidP="003C3E0F">
      <w:pPr>
        <w:pStyle w:val="ListNumber"/>
      </w:pPr>
      <w:r w:rsidRPr="002513B4">
        <w:t>Select</w:t>
      </w:r>
      <w:r w:rsidR="00EE74F9" w:rsidRPr="002513B4">
        <w:t xml:space="preserve"> “</w:t>
      </w:r>
      <w:r w:rsidR="00477294" w:rsidRPr="002513B4">
        <w:t>Choose Files</w:t>
      </w:r>
      <w:r w:rsidR="00EE74F9" w:rsidRPr="002513B4">
        <w:t>”</w:t>
      </w:r>
      <w:r w:rsidR="00477294" w:rsidRPr="002513B4">
        <w:t xml:space="preserve"> / “Browse”</w:t>
      </w:r>
      <w:r w:rsidR="00EE74F9" w:rsidRPr="002513B4">
        <w:t xml:space="preserve"> to select the file to upload. </w:t>
      </w:r>
      <w:r w:rsidR="00477294" w:rsidRPr="002513B4">
        <w:t xml:space="preserve">Up to five XML data files can be uploaded at a time. </w:t>
      </w:r>
      <w:r w:rsidR="00EE74F9" w:rsidRPr="002513B4">
        <w:t xml:space="preserve">The </w:t>
      </w:r>
      <w:r w:rsidR="00477294" w:rsidRPr="002513B4">
        <w:t xml:space="preserve">Choose Files/Browse </w:t>
      </w:r>
      <w:r w:rsidR="00EE74F9" w:rsidRPr="002513B4">
        <w:t xml:space="preserve">button permits users to locate and directly upload a file that has been saved in their own computer system. Survey vendors can select either a single </w:t>
      </w:r>
      <w:r w:rsidR="00D818AA" w:rsidRPr="002513B4">
        <w:t>XML data file</w:t>
      </w:r>
      <w:r w:rsidR="00EE74F9" w:rsidRPr="002513B4">
        <w:t xml:space="preserve"> or a single ZIP file that contains multiple </w:t>
      </w:r>
      <w:r w:rsidR="00D818AA" w:rsidRPr="002513B4">
        <w:t>XML data file</w:t>
      </w:r>
      <w:r w:rsidR="00EE74F9" w:rsidRPr="002513B4">
        <w:t>s.</w:t>
      </w:r>
    </w:p>
    <w:p w14:paraId="50FFB13D" w14:textId="77777777" w:rsidR="00EE74F9" w:rsidRPr="002513B4" w:rsidRDefault="00EE74F9" w:rsidP="003C3E0F">
      <w:pPr>
        <w:pStyle w:val="ListNumber"/>
      </w:pPr>
      <w:r w:rsidRPr="002513B4">
        <w:lastRenderedPageBreak/>
        <w:t xml:space="preserve">After selecting the file to be uploaded, click “Upload” to submit the file. The Data Upload Summary Report based on the file selected will appear. A link to this report will also be emailed to the </w:t>
      </w:r>
      <w:r w:rsidR="004F6739" w:rsidRPr="002513B4">
        <w:t>user submitting the XML data file</w:t>
      </w:r>
      <w:r w:rsidRPr="002513B4">
        <w:t>.</w:t>
      </w:r>
    </w:p>
    <w:p w14:paraId="7C3F490C" w14:textId="22490833" w:rsidR="00A0491B" w:rsidRPr="002513B4" w:rsidRDefault="00A0491B" w:rsidP="00A0491B">
      <w:pPr>
        <w:pStyle w:val="ExhibitCaption"/>
        <w:ind w:left="720"/>
        <w:rPr>
          <w:sz w:val="18"/>
          <w:szCs w:val="18"/>
        </w:rPr>
      </w:pPr>
      <w:bookmarkStart w:id="374" w:name="_Toc406162754"/>
      <w:bookmarkStart w:id="375" w:name="_Toc117593176"/>
      <w:bookmarkStart w:id="376" w:name="_Toc217024903"/>
      <w:r w:rsidRPr="002513B4">
        <w:rPr>
          <w:sz w:val="18"/>
          <w:szCs w:val="18"/>
        </w:rPr>
        <w:t>Exhibit 10.5</w:t>
      </w:r>
      <w:r w:rsidR="00AF6BE4" w:rsidRPr="002513B4">
        <w:rPr>
          <w:sz w:val="18"/>
          <w:szCs w:val="18"/>
        </w:rPr>
        <w:t xml:space="preserve"> </w:t>
      </w:r>
      <w:r w:rsidRPr="002513B4">
        <w:rPr>
          <w:sz w:val="18"/>
          <w:szCs w:val="18"/>
        </w:rPr>
        <w:t>Link to Data Submission Tool</w:t>
      </w:r>
      <w:bookmarkEnd w:id="374"/>
      <w:bookmarkEnd w:id="375"/>
      <w:bookmarkEnd w:id="376"/>
    </w:p>
    <w:p w14:paraId="22E25409" w14:textId="77777777" w:rsidR="00A0491B" w:rsidRPr="002513B4" w:rsidRDefault="00A0491B" w:rsidP="00A0491B">
      <w:pPr>
        <w:pStyle w:val="BodyText"/>
        <w:jc w:val="center"/>
        <w:rPr>
          <w:lang w:val="en-US"/>
        </w:rPr>
      </w:pPr>
      <w:r w:rsidRPr="002513B4">
        <w:rPr>
          <w:noProof/>
          <w:lang w:val="en-US"/>
        </w:rPr>
        <w:drawing>
          <wp:inline distT="0" distB="0" distL="0" distR="0" wp14:anchorId="06045CB4" wp14:editId="0B75290C">
            <wp:extent cx="5943600" cy="3763645"/>
            <wp:effectExtent l="0" t="0" r="0" b="8255"/>
            <wp:docPr id="2" name="Picture 2" descr="Exhibit 10.5 shows a screenshot of the Data Submission Tool page on the HHCAHP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hibit 10.5 shows a screenshot of the Data Submission Tool page on the HHCAHPS website"/>
                    <pic:cNvPicPr/>
                  </pic:nvPicPr>
                  <pic:blipFill>
                    <a:blip r:embed="rId137"/>
                    <a:stretch>
                      <a:fillRect/>
                    </a:stretch>
                  </pic:blipFill>
                  <pic:spPr>
                    <a:xfrm>
                      <a:off x="0" y="0"/>
                      <a:ext cx="5943600" cy="3763645"/>
                    </a:xfrm>
                    <a:prstGeom prst="rect">
                      <a:avLst/>
                    </a:prstGeom>
                  </pic:spPr>
                </pic:pic>
              </a:graphicData>
            </a:graphic>
          </wp:inline>
        </w:drawing>
      </w:r>
    </w:p>
    <w:p w14:paraId="31418D54" w14:textId="77777777" w:rsidR="00EE74F9" w:rsidRPr="002513B4" w:rsidRDefault="00EE74F9" w:rsidP="00EE74F9">
      <w:pPr>
        <w:pStyle w:val="BodyText"/>
        <w:rPr>
          <w:lang w:val="en-US"/>
        </w:rPr>
      </w:pPr>
      <w:r w:rsidRPr="002513B4">
        <w:rPr>
          <w:lang w:val="en-US"/>
        </w:rPr>
        <w:t xml:space="preserve">All </w:t>
      </w:r>
      <w:r w:rsidR="00D818AA" w:rsidRPr="002513B4">
        <w:rPr>
          <w:lang w:val="en-US"/>
        </w:rPr>
        <w:t xml:space="preserve">XML </w:t>
      </w:r>
      <w:r w:rsidRPr="002513B4">
        <w:rPr>
          <w:lang w:val="en-US"/>
        </w:rPr>
        <w:t>data files submitted to the HHCAHPS Data Center go through a two-step validation process in the Data Center. Files must pass both checks to be successfully submitted to the Data Center.</w:t>
      </w:r>
    </w:p>
    <w:p w14:paraId="3AD7AA1B" w14:textId="009AE6CC" w:rsidR="00EE74F9" w:rsidRPr="002513B4" w:rsidRDefault="00EE74F9" w:rsidP="00EE74F9">
      <w:pPr>
        <w:pStyle w:val="BodyText"/>
        <w:rPr>
          <w:b/>
          <w:i/>
          <w:lang w:val="en-US"/>
        </w:rPr>
      </w:pPr>
      <w:r w:rsidRPr="002513B4">
        <w:rPr>
          <w:lang w:val="en-US"/>
        </w:rPr>
        <w:t xml:space="preserve">The first check of the submitted data file </w:t>
      </w:r>
      <w:r w:rsidR="0050086A" w:rsidRPr="002513B4">
        <w:rPr>
          <w:lang w:val="en-US"/>
        </w:rPr>
        <w:t>includes</w:t>
      </w:r>
      <w:r w:rsidRPr="002513B4">
        <w:rPr>
          <w:lang w:val="en-US"/>
        </w:rPr>
        <w:t xml:space="preserve"> mak</w:t>
      </w:r>
      <w:r w:rsidR="0050086A" w:rsidRPr="002513B4">
        <w:rPr>
          <w:lang w:val="en-US"/>
        </w:rPr>
        <w:t>ing</w:t>
      </w:r>
      <w:r w:rsidRPr="002513B4">
        <w:rPr>
          <w:lang w:val="en-US"/>
        </w:rPr>
        <w:t xml:space="preserve"> sure that the XML </w:t>
      </w:r>
      <w:r w:rsidR="00CB2107" w:rsidRPr="002513B4">
        <w:rPr>
          <w:lang w:val="en-US"/>
        </w:rPr>
        <w:t xml:space="preserve">data file </w:t>
      </w:r>
      <w:r w:rsidRPr="002513B4">
        <w:rPr>
          <w:lang w:val="en-US"/>
        </w:rPr>
        <w:t>is properly formatted</w:t>
      </w:r>
      <w:r w:rsidR="0050086A" w:rsidRPr="002513B4">
        <w:rPr>
          <w:lang w:val="en-US"/>
        </w:rPr>
        <w:t>, data range checks, and additional data checks</w:t>
      </w:r>
      <w:r w:rsidRPr="002513B4">
        <w:rPr>
          <w:lang w:val="en-US"/>
        </w:rPr>
        <w:t xml:space="preserve">. If the survey vendor has an incorrectly formatted </w:t>
      </w:r>
      <w:r w:rsidR="0050086A" w:rsidRPr="002513B4">
        <w:rPr>
          <w:lang w:val="en-US"/>
        </w:rPr>
        <w:t>XML file</w:t>
      </w:r>
      <w:r w:rsidRPr="002513B4">
        <w:rPr>
          <w:lang w:val="en-US"/>
        </w:rPr>
        <w:t xml:space="preserve">, the data upload process will stop immediately and send an error message to the vendor that describes the problem detected. After the system verifies that a properly formatted template has been used, it will begin a series of data checks. It will look for any fields in the Header Record with missing data. The system will also check for any duplicate SID numbers to make sure a vendor has not used an SID more than once for a given HHA </w:t>
      </w:r>
      <w:proofErr w:type="gramStart"/>
      <w:r w:rsidRPr="002513B4">
        <w:rPr>
          <w:lang w:val="en-US"/>
        </w:rPr>
        <w:t>in a given</w:t>
      </w:r>
      <w:proofErr w:type="gramEnd"/>
      <w:r w:rsidRPr="002513B4">
        <w:rPr>
          <w:lang w:val="en-US"/>
        </w:rPr>
        <w:t xml:space="preserve"> quarter. Finally, the system will check that the vendor is authorized to upload data for the </w:t>
      </w:r>
      <w:proofErr w:type="gramStart"/>
      <w:r w:rsidRPr="002513B4">
        <w:rPr>
          <w:lang w:val="en-US"/>
        </w:rPr>
        <w:t>particular HHA</w:t>
      </w:r>
      <w:proofErr w:type="gramEnd"/>
      <w:r w:rsidRPr="002513B4">
        <w:rPr>
          <w:lang w:val="en-US"/>
        </w:rPr>
        <w:t xml:space="preserve">. </w:t>
      </w:r>
      <w:r w:rsidRPr="002513B4">
        <w:rPr>
          <w:b/>
          <w:i/>
          <w:lang w:val="en-US"/>
        </w:rPr>
        <w:t>Any files during this first check for which problems are detected will be immediately rejected by the Data Center.</w:t>
      </w:r>
    </w:p>
    <w:p w14:paraId="7EA5986F" w14:textId="7F7B92DD" w:rsidR="00EE74F9" w:rsidRPr="002513B4" w:rsidRDefault="00EE74F9" w:rsidP="00EE74F9">
      <w:pPr>
        <w:pStyle w:val="BodyText"/>
        <w:rPr>
          <w:lang w:val="en-US"/>
        </w:rPr>
      </w:pPr>
      <w:r w:rsidRPr="002513B4">
        <w:rPr>
          <w:lang w:val="en-US"/>
        </w:rPr>
        <w:lastRenderedPageBreak/>
        <w:t xml:space="preserve">Files that have successfully passed the initial upload validation process are then run through a second validation process. HHCAHPS Survey </w:t>
      </w:r>
      <w:r w:rsidR="00D818AA" w:rsidRPr="002513B4">
        <w:rPr>
          <w:lang w:val="en-US"/>
        </w:rPr>
        <w:t xml:space="preserve">XML </w:t>
      </w:r>
      <w:r w:rsidRPr="002513B4">
        <w:rPr>
          <w:lang w:val="en-US"/>
        </w:rPr>
        <w:t>data files must pass this secondary validation check (run within an hour) before they are formally accepted into the Data Center. The second validation process includes a check to make sure that each record with a final status code (110, 120, or 310) has a patient response record and a consistency check to make sure the values in the header record match the values in the patient administrative record. In addition, the system will run a completeness algorithm to verify that all patient response records included on the file meet survey completeness criteria (this step will be used to ensure that the appropriate cases are assigned a disposition code of complete but will not be a reason for rejecting a file if cases are miscoded). Finally, DSRS files will also have a check to make sure the number of records in each stratum match the stratum size value in the header record.</w:t>
      </w:r>
    </w:p>
    <w:p w14:paraId="31D5D73B" w14:textId="44CCF55E" w:rsidR="00EE74F9" w:rsidRPr="002513B4" w:rsidRDefault="00EE74F9" w:rsidP="00EE74F9">
      <w:pPr>
        <w:pStyle w:val="BodyText"/>
        <w:rPr>
          <w:lang w:val="en-US"/>
        </w:rPr>
      </w:pPr>
      <w:r w:rsidRPr="002513B4">
        <w:rPr>
          <w:lang w:val="en-US"/>
        </w:rPr>
        <w:t>Vendors are emailed the results of the first and second validation checks along with a link to a Data Submission Summary Report. Survey vendors are strongly encouraged to check their reports each time they submit</w:t>
      </w:r>
      <w:r w:rsidR="00D818AA" w:rsidRPr="002513B4">
        <w:rPr>
          <w:lang w:val="en-US"/>
        </w:rPr>
        <w:t xml:space="preserve"> XML</w:t>
      </w:r>
      <w:r w:rsidRPr="002513B4">
        <w:rPr>
          <w:lang w:val="en-US"/>
        </w:rPr>
        <w:t xml:space="preserve"> data files. More details about these reports are provided in </w:t>
      </w:r>
      <w:r w:rsidR="0022551F" w:rsidRPr="002513B4">
        <w:rPr>
          <w:b/>
          <w:bCs/>
          <w:i/>
          <w:iCs/>
          <w:lang w:val="en-US"/>
        </w:rPr>
        <w:t>Section 11.2</w:t>
      </w:r>
      <w:r w:rsidRPr="002513B4">
        <w:rPr>
          <w:b/>
          <w:bCs/>
          <w:i/>
          <w:iCs/>
          <w:lang w:val="en-US"/>
        </w:rPr>
        <w:t xml:space="preserve"> </w:t>
      </w:r>
      <w:proofErr w:type="gramStart"/>
      <w:r w:rsidRPr="002513B4">
        <w:rPr>
          <w:lang w:val="en-US"/>
        </w:rPr>
        <w:t>and also</w:t>
      </w:r>
      <w:proofErr w:type="gramEnd"/>
      <w:r w:rsidRPr="002513B4">
        <w:rPr>
          <w:lang w:val="en-US"/>
        </w:rPr>
        <w:t xml:space="preserve"> in the </w:t>
      </w:r>
      <w:r w:rsidRPr="002513B4">
        <w:rPr>
          <w:i/>
          <w:iCs/>
          <w:lang w:val="en-US"/>
        </w:rPr>
        <w:t>Home Health Care CAHPS Survey Website and Data Submission Manual</w:t>
      </w:r>
      <w:r w:rsidRPr="002513B4">
        <w:rPr>
          <w:lang w:val="en-US"/>
        </w:rPr>
        <w:t>, which is available on the HHCAHPS Survey website.</w:t>
      </w:r>
    </w:p>
    <w:p w14:paraId="73AEC47A" w14:textId="6E44D7A7" w:rsidR="00EE74F9" w:rsidRPr="002513B4" w:rsidRDefault="00A50434" w:rsidP="00EE74F9">
      <w:pPr>
        <w:pStyle w:val="Heading3"/>
        <w:rPr>
          <w:lang w:val="en-US"/>
        </w:rPr>
      </w:pPr>
      <w:bookmarkStart w:id="377" w:name="_Toc407633113"/>
      <w:bookmarkStart w:id="378" w:name="_Toc24713391"/>
      <w:bookmarkStart w:id="379" w:name="_Toc217305621"/>
      <w:r w:rsidRPr="002513B4">
        <w:rPr>
          <w:lang w:val="en-US"/>
        </w:rPr>
        <w:t>10.7</w:t>
      </w:r>
      <w:r w:rsidRPr="002513B4">
        <w:rPr>
          <w:lang w:val="en-US"/>
        </w:rPr>
        <w:tab/>
      </w:r>
      <w:r w:rsidR="00EE74F9" w:rsidRPr="002513B4">
        <w:rPr>
          <w:lang w:val="en-US"/>
        </w:rPr>
        <w:t>Data Submission Quality Control</w:t>
      </w:r>
      <w:bookmarkEnd w:id="377"/>
      <w:r w:rsidR="00EE74F9" w:rsidRPr="002513B4">
        <w:rPr>
          <w:lang w:val="en-US"/>
        </w:rPr>
        <w:t xml:space="preserve"> Guidelines</w:t>
      </w:r>
      <w:bookmarkEnd w:id="378"/>
      <w:bookmarkEnd w:id="379"/>
    </w:p>
    <w:p w14:paraId="12B4788E" w14:textId="0738F4EC" w:rsidR="00EE74F9" w:rsidRPr="002513B4" w:rsidRDefault="00EE74F9" w:rsidP="00EE74F9">
      <w:pPr>
        <w:pStyle w:val="BodyText"/>
        <w:rPr>
          <w:lang w:val="en-US"/>
        </w:rPr>
      </w:pPr>
      <w:r w:rsidRPr="002513B4">
        <w:rPr>
          <w:lang w:val="en-US"/>
        </w:rPr>
        <w:t xml:space="preserve">The following guidelines are provided to assist vendors in making sure that </w:t>
      </w:r>
      <w:r w:rsidR="00D818AA" w:rsidRPr="002513B4">
        <w:rPr>
          <w:lang w:val="en-US"/>
        </w:rPr>
        <w:t>XML data file</w:t>
      </w:r>
      <w:r w:rsidRPr="002513B4">
        <w:rPr>
          <w:lang w:val="en-US"/>
        </w:rPr>
        <w:t>s are prepared properly and successfully submitted. Implementing adequate quality control on data submi</w:t>
      </w:r>
      <w:r w:rsidRPr="002513B4">
        <w:rPr>
          <w:rStyle w:val="BodyTextChar"/>
          <w:lang w:val="en-US"/>
        </w:rPr>
        <w:t>s</w:t>
      </w:r>
      <w:r w:rsidRPr="002513B4">
        <w:rPr>
          <w:lang w:val="en-US"/>
        </w:rPr>
        <w:t xml:space="preserve">sion procedures and submitting each file well in advance of the data submission deadline will help ensure that each HHA’s monthly data files are </w:t>
      </w:r>
      <w:r w:rsidR="0022551F" w:rsidRPr="002513B4">
        <w:rPr>
          <w:lang w:val="en-US"/>
        </w:rPr>
        <w:t>accepted,</w:t>
      </w:r>
      <w:r w:rsidRPr="002513B4">
        <w:rPr>
          <w:lang w:val="en-US"/>
        </w:rPr>
        <w:t xml:space="preserve"> and that high-quality data are submitted. Quality control checks should be conducted by a different staff person than the one who completed the initial task.</w:t>
      </w:r>
    </w:p>
    <w:p w14:paraId="3081995B" w14:textId="77777777" w:rsidR="00EE74F9" w:rsidRPr="002513B4" w:rsidRDefault="00EE74F9" w:rsidP="00EE74F9">
      <w:pPr>
        <w:pStyle w:val="BodyText"/>
        <w:rPr>
          <w:lang w:val="en-US"/>
        </w:rPr>
      </w:pPr>
      <w:r w:rsidRPr="002513B4">
        <w:rPr>
          <w:lang w:val="en-US"/>
        </w:rPr>
        <w:t>Examples of QC that can be conducted during the file development process are provided below.</w:t>
      </w:r>
    </w:p>
    <w:p w14:paraId="76E5139E" w14:textId="152F76E1" w:rsidR="00EE74F9" w:rsidRPr="002513B4" w:rsidRDefault="00A50434" w:rsidP="00EE74F9">
      <w:pPr>
        <w:pStyle w:val="Heading4"/>
        <w:rPr>
          <w:lang w:val="en-US"/>
        </w:rPr>
      </w:pPr>
      <w:r w:rsidRPr="002513B4">
        <w:rPr>
          <w:lang w:val="en-US"/>
        </w:rPr>
        <w:t xml:space="preserve">10.7.1 </w:t>
      </w:r>
      <w:r w:rsidR="00470A61" w:rsidRPr="002513B4">
        <w:rPr>
          <w:lang w:val="en-US"/>
        </w:rPr>
        <w:tab/>
      </w:r>
      <w:r w:rsidR="00EE74F9" w:rsidRPr="002513B4">
        <w:rPr>
          <w:lang w:val="en-US"/>
        </w:rPr>
        <w:t>Overall Quality Control Checks and Reminders</w:t>
      </w:r>
    </w:p>
    <w:p w14:paraId="4D2E9340" w14:textId="77777777" w:rsidR="00EE74F9" w:rsidRPr="002513B4" w:rsidRDefault="00EE74F9" w:rsidP="00EE74F9">
      <w:pPr>
        <w:pStyle w:val="ListBullet"/>
      </w:pPr>
      <w:r w:rsidRPr="002513B4">
        <w:t xml:space="preserve">Check the </w:t>
      </w:r>
      <w:r w:rsidR="00D818AA" w:rsidRPr="002513B4">
        <w:t>XML data file</w:t>
      </w:r>
      <w:r w:rsidRPr="002513B4">
        <w:t xml:space="preserve"> name to make sure that it conforms to HHCAHPS file naming conventions.</w:t>
      </w:r>
      <w:r w:rsidR="006F1F23" w:rsidRPr="002513B4">
        <w:t xml:space="preserve"> We recommend that t</w:t>
      </w:r>
      <w:r w:rsidR="003E01E7" w:rsidRPr="002513B4">
        <w:t>he file name should include the HHA’s CCN, sample month, and sample year.</w:t>
      </w:r>
    </w:p>
    <w:p w14:paraId="0ED3EC06" w14:textId="77777777" w:rsidR="00EE74F9" w:rsidRPr="002513B4" w:rsidRDefault="00EE74F9" w:rsidP="00EE74F9">
      <w:pPr>
        <w:pStyle w:val="ListBullet"/>
      </w:pPr>
      <w:r w:rsidRPr="002513B4">
        <w:t xml:space="preserve">Confirm that an </w:t>
      </w:r>
      <w:r w:rsidR="00D818AA" w:rsidRPr="002513B4">
        <w:t>XML data file</w:t>
      </w:r>
      <w:r w:rsidRPr="002513B4">
        <w:t xml:space="preserve"> has been accepted for each sample month for each HHA even if the HHA submitted a monthly patient information file that did not have any patients that met survey eligibility criteria.</w:t>
      </w:r>
    </w:p>
    <w:p w14:paraId="731259A0" w14:textId="044E6F97" w:rsidR="00EE74F9" w:rsidRPr="002513B4" w:rsidRDefault="00EE74F9" w:rsidP="00EE74F9">
      <w:pPr>
        <w:pStyle w:val="ListBullet"/>
      </w:pPr>
      <w:r w:rsidRPr="002513B4">
        <w:t xml:space="preserve">Zero-eligible files: Survey vendors are reminded that if none of the patients for whom information is provided on the monthly patient information file is eligible for the HHCAHPS Survey, the vendor must still prepare and submit an </w:t>
      </w:r>
      <w:r w:rsidR="00D818AA" w:rsidRPr="002513B4">
        <w:t>XML data file</w:t>
      </w:r>
      <w:r w:rsidRPr="002513B4">
        <w:t xml:space="preserve"> for </w:t>
      </w:r>
      <w:r w:rsidRPr="002513B4">
        <w:lastRenderedPageBreak/>
        <w:t xml:space="preserve">that sample month. The vendor must indicate on the file that there were 0 eligible cases in the Number Eligible data element and enter all other information required in the Header Record </w:t>
      </w:r>
      <w:r w:rsidR="003419B3" w:rsidRPr="002513B4">
        <w:t>s</w:t>
      </w:r>
      <w:r w:rsidRPr="002513B4">
        <w:t xml:space="preserve">ection of the </w:t>
      </w:r>
      <w:r w:rsidR="00D818AA" w:rsidRPr="002513B4">
        <w:t>XML data file</w:t>
      </w:r>
      <w:r w:rsidRPr="002513B4">
        <w:t xml:space="preserve">. If the vendor does not submit a file, CMS will view the HHA as having missed a sample month, so there will be no documentation on file that the HHA met the participation requirements for that sample month. Vendors are required to obtain from their clients either a file showing that there were no eligible patients </w:t>
      </w:r>
      <w:r w:rsidRPr="002513B4">
        <w:rPr>
          <w:b/>
          <w:bCs/>
          <w:i/>
          <w:iCs/>
        </w:rPr>
        <w:t>or</w:t>
      </w:r>
      <w:r w:rsidRPr="002513B4">
        <w:t xml:space="preserve"> an email from the HHA to this effect, for each month in which there are no eligible patients.</w:t>
      </w:r>
    </w:p>
    <w:p w14:paraId="220538DA" w14:textId="77777777" w:rsidR="00EE74F9" w:rsidRPr="002513B4" w:rsidRDefault="00EE74F9" w:rsidP="00EE74F9">
      <w:pPr>
        <w:pStyle w:val="ListBullet"/>
      </w:pPr>
      <w:r w:rsidRPr="002513B4">
        <w:t xml:space="preserve">Survey vendors should make sure that they do </w:t>
      </w:r>
      <w:r w:rsidRPr="002513B4">
        <w:rPr>
          <w:b/>
          <w:bCs/>
        </w:rPr>
        <w:t>not</w:t>
      </w:r>
      <w:r w:rsidRPr="002513B4">
        <w:t xml:space="preserve"> submit a zero-eligible file for an HHA that did not submit a monthly patient information file or provide email documentation that they did not serve any eligible patients. HHCAHPS Survey vendors are </w:t>
      </w:r>
      <w:r w:rsidRPr="002513B4">
        <w:rPr>
          <w:b/>
          <w:bCs/>
        </w:rPr>
        <w:t>not</w:t>
      </w:r>
      <w:r w:rsidRPr="002513B4">
        <w:t xml:space="preserve"> required to submit a DNR for situations where there are 0 eligible cases; however, they </w:t>
      </w:r>
      <w:r w:rsidRPr="002513B4">
        <w:rPr>
          <w:b/>
          <w:bCs/>
          <w:i/>
          <w:iCs/>
        </w:rPr>
        <w:t>are</w:t>
      </w:r>
      <w:r w:rsidRPr="002513B4">
        <w:t xml:space="preserve"> required to submit a DNR if the HHA did not submit a file at all.</w:t>
      </w:r>
    </w:p>
    <w:p w14:paraId="3D62C210" w14:textId="63F34276" w:rsidR="00EE74F9" w:rsidRPr="002513B4" w:rsidRDefault="00EE74F9" w:rsidP="00EE74F9">
      <w:pPr>
        <w:pStyle w:val="ListBullet"/>
        <w:rPr>
          <w:szCs w:val="20"/>
          <w:lang w:eastAsia="x-none"/>
        </w:rPr>
      </w:pPr>
      <w:r w:rsidRPr="002513B4">
        <w:t>Generate data distributions (frequencies of responses) on selected data elements and inspect the output for anomalies. A visual inspection of data frequencies is a quick way to identify problems. For example, if the race</w:t>
      </w:r>
      <w:r w:rsidR="005F43EB" w:rsidRPr="002513B4">
        <w:t xml:space="preserve"> and ethnicity</w:t>
      </w:r>
      <w:r w:rsidRPr="002513B4">
        <w:t xml:space="preserve"> data element for all patients entered on the </w:t>
      </w:r>
      <w:r w:rsidR="00D818AA" w:rsidRPr="002513B4">
        <w:t>XML data file</w:t>
      </w:r>
      <w:r w:rsidRPr="002513B4">
        <w:t xml:space="preserve"> is American Indian</w:t>
      </w:r>
      <w:r w:rsidR="005F43EB" w:rsidRPr="002513B4">
        <w:t xml:space="preserve"> or Alaska Native</w:t>
      </w:r>
      <w:r w:rsidRPr="002513B4">
        <w:t xml:space="preserve">, this could be an indication that the race data element is incorrect. Similarly, if the Overall Rating of Care data element has a value of “2” for all patients on the file, this is likely an indication that there is a problem. Implementing this quality control check on a sample of the data records will ensure that data are correctly exported from the data source onto the </w:t>
      </w:r>
      <w:r w:rsidR="00D818AA" w:rsidRPr="002513B4">
        <w:t>XML data file</w:t>
      </w:r>
      <w:r w:rsidRPr="002513B4">
        <w:t>.</w:t>
      </w:r>
    </w:p>
    <w:p w14:paraId="10BBA280" w14:textId="77777777" w:rsidR="00EE74F9" w:rsidRPr="002513B4" w:rsidRDefault="00EE74F9" w:rsidP="00EE74F9">
      <w:pPr>
        <w:pStyle w:val="ListBullet"/>
      </w:pPr>
      <w:r w:rsidRPr="002513B4">
        <w:t xml:space="preserve">Vendors should check the </w:t>
      </w:r>
      <w:r w:rsidR="003419B3" w:rsidRPr="002513B4">
        <w:t xml:space="preserve">Survey </w:t>
      </w:r>
      <w:r w:rsidRPr="002513B4">
        <w:t xml:space="preserve">Vendor Authorization Report regularly to make sure that each of their HHA clients has authorized them to submit data and that the “Start Date” the HHA entered is the correct date for the first month of the quarter for which the vendor collected data. </w:t>
      </w:r>
      <w:r w:rsidR="00D818AA" w:rsidRPr="002513B4">
        <w:t>XML data file</w:t>
      </w:r>
      <w:r w:rsidRPr="002513B4">
        <w:t>s will be rejected if an HHA has not authorized its vendor to submit its data.</w:t>
      </w:r>
    </w:p>
    <w:p w14:paraId="0955D54E" w14:textId="617B50D8" w:rsidR="00EE74F9" w:rsidRPr="002513B4" w:rsidRDefault="00284CBC" w:rsidP="00EE74F9">
      <w:pPr>
        <w:pStyle w:val="Heading4"/>
        <w:rPr>
          <w:lang w:val="en-US"/>
        </w:rPr>
      </w:pPr>
      <w:r w:rsidRPr="002513B4">
        <w:rPr>
          <w:lang w:val="en-US"/>
        </w:rPr>
        <w:t>10.7.2</w:t>
      </w:r>
      <w:r w:rsidR="00A0528C" w:rsidRPr="002513B4">
        <w:rPr>
          <w:lang w:val="en-US"/>
        </w:rPr>
        <w:tab/>
      </w:r>
      <w:r w:rsidR="00EE74F9" w:rsidRPr="002513B4">
        <w:rPr>
          <w:lang w:val="en-US"/>
        </w:rPr>
        <w:t>XML Header Record Quality Control</w:t>
      </w:r>
    </w:p>
    <w:p w14:paraId="3CE4CBC8" w14:textId="77777777" w:rsidR="00EE74F9" w:rsidRPr="002513B4" w:rsidRDefault="005670F2" w:rsidP="00EE74F9">
      <w:pPr>
        <w:pStyle w:val="ListBullet"/>
      </w:pPr>
      <w:r w:rsidRPr="002513B4">
        <w:t xml:space="preserve">Verify </w:t>
      </w:r>
      <w:r w:rsidR="00EE74F9" w:rsidRPr="002513B4">
        <w:t xml:space="preserve">that the </w:t>
      </w:r>
      <w:r w:rsidRPr="002513B4">
        <w:t>N</w:t>
      </w:r>
      <w:r w:rsidR="00EE74F9" w:rsidRPr="002513B4">
        <w:t xml:space="preserve">umber of </w:t>
      </w:r>
      <w:r w:rsidRPr="002513B4">
        <w:t>E</w:t>
      </w:r>
      <w:r w:rsidR="00EE74F9" w:rsidRPr="002513B4">
        <w:t xml:space="preserve">ligible </w:t>
      </w:r>
      <w:r w:rsidRPr="002513B4">
        <w:t>P</w:t>
      </w:r>
      <w:r w:rsidR="00EE74F9" w:rsidRPr="002513B4">
        <w:t xml:space="preserve">atients included on the file is </w:t>
      </w:r>
      <w:r w:rsidRPr="002513B4">
        <w:t xml:space="preserve">less than or </w:t>
      </w:r>
      <w:r w:rsidR="00EE74F9" w:rsidRPr="002513B4">
        <w:t xml:space="preserve">equal to the </w:t>
      </w:r>
      <w:r w:rsidRPr="002513B4">
        <w:t>N</w:t>
      </w:r>
      <w:r w:rsidR="00EE74F9" w:rsidRPr="002513B4">
        <w:t xml:space="preserve">umber of </w:t>
      </w:r>
      <w:r w:rsidRPr="002513B4">
        <w:t>P</w:t>
      </w:r>
      <w:r w:rsidR="00EE74F9" w:rsidRPr="002513B4">
        <w:t xml:space="preserve">atients </w:t>
      </w:r>
      <w:r w:rsidRPr="002513B4">
        <w:t>S</w:t>
      </w:r>
      <w:r w:rsidR="00EE74F9" w:rsidRPr="002513B4">
        <w:t xml:space="preserve">erved during the sample month. It should never be more than the </w:t>
      </w:r>
      <w:r w:rsidRPr="002513B4">
        <w:t>N</w:t>
      </w:r>
      <w:r w:rsidR="00EE74F9" w:rsidRPr="002513B4">
        <w:t xml:space="preserve">umber of </w:t>
      </w:r>
      <w:r w:rsidRPr="002513B4">
        <w:t>P</w:t>
      </w:r>
      <w:r w:rsidR="00EE74F9" w:rsidRPr="002513B4">
        <w:t xml:space="preserve">atients </w:t>
      </w:r>
      <w:r w:rsidRPr="002513B4">
        <w:t>S</w:t>
      </w:r>
      <w:r w:rsidR="00EE74F9" w:rsidRPr="002513B4">
        <w:t>erved.</w:t>
      </w:r>
    </w:p>
    <w:p w14:paraId="306A8535" w14:textId="77777777" w:rsidR="00EE74F9" w:rsidRPr="002513B4" w:rsidRDefault="00EE74F9" w:rsidP="00EE74F9">
      <w:pPr>
        <w:pStyle w:val="ListBullet"/>
      </w:pPr>
      <w:r w:rsidRPr="002513B4">
        <w:t xml:space="preserve">Verify that the </w:t>
      </w:r>
      <w:r w:rsidR="005670F2" w:rsidRPr="002513B4">
        <w:t>N</w:t>
      </w:r>
      <w:r w:rsidRPr="002513B4">
        <w:t xml:space="preserve">umber of </w:t>
      </w:r>
      <w:r w:rsidR="005670F2" w:rsidRPr="002513B4">
        <w:t>P</w:t>
      </w:r>
      <w:r w:rsidRPr="002513B4">
        <w:t xml:space="preserve">atients </w:t>
      </w:r>
      <w:r w:rsidR="005670F2" w:rsidRPr="002513B4">
        <w:t>S</w:t>
      </w:r>
      <w:r w:rsidRPr="002513B4">
        <w:t xml:space="preserve">ampled is less than or equal to the </w:t>
      </w:r>
      <w:r w:rsidR="005670F2" w:rsidRPr="002513B4">
        <w:t>N</w:t>
      </w:r>
      <w:r w:rsidRPr="002513B4">
        <w:t xml:space="preserve">umber of </w:t>
      </w:r>
      <w:r w:rsidR="005670F2" w:rsidRPr="002513B4">
        <w:t>P</w:t>
      </w:r>
      <w:r w:rsidRPr="002513B4">
        <w:t xml:space="preserve">atients </w:t>
      </w:r>
      <w:r w:rsidR="005670F2" w:rsidRPr="002513B4">
        <w:t>S</w:t>
      </w:r>
      <w:r w:rsidRPr="002513B4">
        <w:t>erved.</w:t>
      </w:r>
    </w:p>
    <w:p w14:paraId="01851C06" w14:textId="77777777" w:rsidR="00EE74F9" w:rsidRPr="002513B4" w:rsidRDefault="005670F2" w:rsidP="00EE74F9">
      <w:pPr>
        <w:pStyle w:val="ListBullet"/>
      </w:pPr>
      <w:r w:rsidRPr="002513B4">
        <w:t xml:space="preserve">Verify </w:t>
      </w:r>
      <w:r w:rsidR="00EE74F9" w:rsidRPr="002513B4">
        <w:t xml:space="preserve">that the </w:t>
      </w:r>
      <w:r w:rsidRPr="002513B4">
        <w:t>N</w:t>
      </w:r>
      <w:r w:rsidR="00EE74F9" w:rsidRPr="002513B4">
        <w:t xml:space="preserve">umber of </w:t>
      </w:r>
      <w:r w:rsidRPr="002513B4">
        <w:t>P</w:t>
      </w:r>
      <w:r w:rsidR="00EE74F9" w:rsidRPr="002513B4">
        <w:t>atients</w:t>
      </w:r>
      <w:r w:rsidRPr="002513B4">
        <w:t xml:space="preserve"> on File(s) Submitted to Vendor</w:t>
      </w:r>
      <w:r w:rsidR="00EE74F9" w:rsidRPr="002513B4">
        <w:t xml:space="preserve"> </w:t>
      </w:r>
      <w:r w:rsidR="00F2236E" w:rsidRPr="002513B4">
        <w:t>is</w:t>
      </w:r>
      <w:r w:rsidR="007E71E9" w:rsidRPr="002513B4">
        <w:t xml:space="preserve"> </w:t>
      </w:r>
      <w:r w:rsidR="00EE74F9" w:rsidRPr="002513B4">
        <w:t xml:space="preserve">greater than or equal to the </w:t>
      </w:r>
      <w:r w:rsidRPr="002513B4">
        <w:t>N</w:t>
      </w:r>
      <w:r w:rsidR="00EE74F9" w:rsidRPr="002513B4">
        <w:t xml:space="preserve">umber of </w:t>
      </w:r>
      <w:r w:rsidRPr="002513B4">
        <w:t>P</w:t>
      </w:r>
      <w:r w:rsidR="00EE74F9" w:rsidRPr="002513B4">
        <w:t xml:space="preserve">atients </w:t>
      </w:r>
      <w:r w:rsidRPr="002513B4">
        <w:t>S</w:t>
      </w:r>
      <w:r w:rsidR="00EE74F9" w:rsidRPr="002513B4">
        <w:t>ampled.</w:t>
      </w:r>
    </w:p>
    <w:p w14:paraId="6A90B685" w14:textId="77777777" w:rsidR="00EE74F9" w:rsidRPr="002513B4" w:rsidRDefault="005670F2" w:rsidP="00EE74F9">
      <w:pPr>
        <w:pStyle w:val="ListBullet"/>
      </w:pPr>
      <w:r w:rsidRPr="002513B4">
        <w:t xml:space="preserve">Verify </w:t>
      </w:r>
      <w:r w:rsidR="00EE74F9" w:rsidRPr="002513B4">
        <w:t xml:space="preserve">that the </w:t>
      </w:r>
      <w:r w:rsidRPr="002513B4">
        <w:t>N</w:t>
      </w:r>
      <w:r w:rsidR="00EE74F9" w:rsidRPr="002513B4">
        <w:t xml:space="preserve">umber of </w:t>
      </w:r>
      <w:r w:rsidRPr="002513B4">
        <w:t>E</w:t>
      </w:r>
      <w:r w:rsidR="00EE74F9" w:rsidRPr="002513B4">
        <w:t xml:space="preserve">ligible </w:t>
      </w:r>
      <w:r w:rsidRPr="002513B4">
        <w:t>P</w:t>
      </w:r>
      <w:r w:rsidR="00EE74F9" w:rsidRPr="002513B4">
        <w:t xml:space="preserve">atients is greater than or equal to the </w:t>
      </w:r>
      <w:r w:rsidRPr="002513B4">
        <w:t>N</w:t>
      </w:r>
      <w:r w:rsidR="00EE74F9" w:rsidRPr="002513B4">
        <w:t xml:space="preserve">umber of </w:t>
      </w:r>
      <w:r w:rsidRPr="002513B4">
        <w:t>P</w:t>
      </w:r>
      <w:r w:rsidR="00EE74F9" w:rsidRPr="002513B4">
        <w:t xml:space="preserve">atients </w:t>
      </w:r>
      <w:r w:rsidRPr="002513B4">
        <w:t>S</w:t>
      </w:r>
      <w:r w:rsidR="00EE74F9" w:rsidRPr="002513B4">
        <w:t xml:space="preserve">ampled. Except for very small HHAs, the </w:t>
      </w:r>
      <w:r w:rsidRPr="002513B4">
        <w:t>N</w:t>
      </w:r>
      <w:r w:rsidR="00EE74F9" w:rsidRPr="002513B4">
        <w:t xml:space="preserve">umber of </w:t>
      </w:r>
      <w:r w:rsidRPr="002513B4">
        <w:t>E</w:t>
      </w:r>
      <w:r w:rsidR="00EE74F9" w:rsidRPr="002513B4">
        <w:t xml:space="preserve">ligible </w:t>
      </w:r>
      <w:r w:rsidRPr="002513B4">
        <w:t>P</w:t>
      </w:r>
      <w:r w:rsidR="00EE74F9" w:rsidRPr="002513B4">
        <w:t xml:space="preserve">atients should always be greater than the </w:t>
      </w:r>
      <w:r w:rsidRPr="002513B4">
        <w:t>N</w:t>
      </w:r>
      <w:r w:rsidR="00EE74F9" w:rsidRPr="002513B4">
        <w:t xml:space="preserve">umber </w:t>
      </w:r>
      <w:r w:rsidRPr="002513B4">
        <w:t>of Patients S</w:t>
      </w:r>
      <w:r w:rsidR="00EE74F9" w:rsidRPr="002513B4">
        <w:t>ampled.</w:t>
      </w:r>
    </w:p>
    <w:p w14:paraId="4CB6E9D4" w14:textId="77777777" w:rsidR="00EE74F9" w:rsidRPr="002513B4" w:rsidRDefault="005670F2" w:rsidP="00EE74F9">
      <w:pPr>
        <w:pStyle w:val="ListBullet"/>
      </w:pPr>
      <w:r w:rsidRPr="002513B4">
        <w:lastRenderedPageBreak/>
        <w:t xml:space="preserve">Verify that </w:t>
      </w:r>
      <w:r w:rsidR="00EE74F9" w:rsidRPr="002513B4">
        <w:t xml:space="preserve">the </w:t>
      </w:r>
      <w:r w:rsidRPr="002513B4">
        <w:t>S</w:t>
      </w:r>
      <w:r w:rsidR="00EE74F9" w:rsidRPr="002513B4">
        <w:t xml:space="preserve">ample </w:t>
      </w:r>
      <w:r w:rsidRPr="002513B4">
        <w:t>M</w:t>
      </w:r>
      <w:r w:rsidR="00EE74F9" w:rsidRPr="002513B4">
        <w:t xml:space="preserve">onth entered on the </w:t>
      </w:r>
      <w:r w:rsidR="00D818AA" w:rsidRPr="002513B4">
        <w:t>XML data file</w:t>
      </w:r>
      <w:r w:rsidR="00EE74F9" w:rsidRPr="002513B4">
        <w:t xml:space="preserve"> to verify that the sample month is correct. The HHCAHPS Data Center will not accept a data file for a sample month in a previous data submission quarter, but it will accept files for months in the current and upcoming data submission quarters. Similarly, make sure that the </w:t>
      </w:r>
      <w:r w:rsidRPr="002513B4">
        <w:t>S</w:t>
      </w:r>
      <w:r w:rsidR="00EE74F9" w:rsidRPr="002513B4">
        <w:t xml:space="preserve">ample </w:t>
      </w:r>
      <w:r w:rsidRPr="002513B4">
        <w:t>M</w:t>
      </w:r>
      <w:r w:rsidR="00EE74F9" w:rsidRPr="002513B4">
        <w:t>onth on the file correctly indicates the month in which the patients received skilled home health care.</w:t>
      </w:r>
    </w:p>
    <w:p w14:paraId="20354355" w14:textId="77BD0D94" w:rsidR="00EE74F9" w:rsidRPr="002513B4" w:rsidRDefault="00284CBC" w:rsidP="00EE74F9">
      <w:pPr>
        <w:pStyle w:val="Heading4"/>
        <w:rPr>
          <w:lang w:val="en-US"/>
        </w:rPr>
      </w:pPr>
      <w:r w:rsidRPr="002513B4">
        <w:rPr>
          <w:lang w:val="en-US"/>
        </w:rPr>
        <w:t xml:space="preserve">10.7.3 </w:t>
      </w:r>
      <w:r w:rsidR="00A0528C" w:rsidRPr="002513B4">
        <w:rPr>
          <w:lang w:val="en-US"/>
        </w:rPr>
        <w:tab/>
      </w:r>
      <w:r w:rsidR="00EE74F9" w:rsidRPr="002513B4">
        <w:rPr>
          <w:lang w:val="en-US"/>
        </w:rPr>
        <w:t>XML Patient Administrative</w:t>
      </w:r>
      <w:r w:rsidR="002236A0" w:rsidRPr="002513B4">
        <w:rPr>
          <w:lang w:val="en-US"/>
        </w:rPr>
        <w:t xml:space="preserve"> Data</w:t>
      </w:r>
      <w:r w:rsidR="00EE74F9" w:rsidRPr="002513B4">
        <w:rPr>
          <w:lang w:val="en-US"/>
        </w:rPr>
        <w:t xml:space="preserve"> Records Quality Control</w:t>
      </w:r>
    </w:p>
    <w:p w14:paraId="3664DB23" w14:textId="77777777" w:rsidR="00EE74F9" w:rsidRPr="002513B4" w:rsidRDefault="00EE74F9" w:rsidP="00EE74F9">
      <w:pPr>
        <w:pStyle w:val="ListBullet"/>
      </w:pPr>
      <w:r w:rsidRPr="002513B4">
        <w:t xml:space="preserve">Check to make sure that the total number of patients for which the vendor has included administrative information in the </w:t>
      </w:r>
      <w:r w:rsidR="00BC1A2E" w:rsidRPr="002513B4">
        <w:t>P</w:t>
      </w:r>
      <w:r w:rsidRPr="002513B4">
        <w:t xml:space="preserve">atient </w:t>
      </w:r>
      <w:r w:rsidR="00BC1A2E" w:rsidRPr="002513B4">
        <w:t>A</w:t>
      </w:r>
      <w:r w:rsidRPr="002513B4">
        <w:t xml:space="preserve">dministrative </w:t>
      </w:r>
      <w:r w:rsidR="00BC1A2E" w:rsidRPr="002513B4">
        <w:t xml:space="preserve">Record </w:t>
      </w:r>
      <w:r w:rsidRPr="002513B4">
        <w:t xml:space="preserve">section of the </w:t>
      </w:r>
      <w:r w:rsidR="00D818AA" w:rsidRPr="002513B4">
        <w:t>XML data file</w:t>
      </w:r>
      <w:r w:rsidRPr="002513B4">
        <w:t xml:space="preserve"> equals the </w:t>
      </w:r>
      <w:r w:rsidR="00BC1A2E" w:rsidRPr="002513B4">
        <w:t>N</w:t>
      </w:r>
      <w:r w:rsidRPr="002513B4">
        <w:t xml:space="preserve">umber of </w:t>
      </w:r>
      <w:r w:rsidR="00BC1A2E" w:rsidRPr="002513B4">
        <w:t>P</w:t>
      </w:r>
      <w:r w:rsidRPr="002513B4">
        <w:t xml:space="preserve">atients </w:t>
      </w:r>
      <w:r w:rsidR="00BC1A2E" w:rsidRPr="002513B4">
        <w:t>S</w:t>
      </w:r>
      <w:r w:rsidRPr="002513B4">
        <w:t>ampled.</w:t>
      </w:r>
    </w:p>
    <w:p w14:paraId="56379D96" w14:textId="77777777" w:rsidR="00EE74F9" w:rsidRPr="002513B4" w:rsidRDefault="00EE74F9" w:rsidP="00EE74F9">
      <w:pPr>
        <w:pStyle w:val="ListBullet"/>
      </w:pPr>
      <w:r w:rsidRPr="002513B4">
        <w:t xml:space="preserve">Confirm that there have not been any duplicate SID numbers assigned in the </w:t>
      </w:r>
      <w:r w:rsidR="00D818AA" w:rsidRPr="002513B4">
        <w:t>XML data file</w:t>
      </w:r>
      <w:r w:rsidRPr="002513B4">
        <w:t>s across months in the data submission period or across prior data submission periods. An SID number can only be assigned to one patient and cannot be reused within quarters, across quarters, or across years.</w:t>
      </w:r>
    </w:p>
    <w:p w14:paraId="2EA57576" w14:textId="77777777" w:rsidR="00EE74F9" w:rsidRPr="002513B4" w:rsidRDefault="00EE74F9" w:rsidP="00EE74F9">
      <w:pPr>
        <w:pStyle w:val="ListBullet"/>
      </w:pPr>
      <w:r w:rsidRPr="002513B4">
        <w:t>Make sure that the correct code is entered on the Patient Administrative</w:t>
      </w:r>
      <w:r w:rsidR="002236A0" w:rsidRPr="002513B4">
        <w:t xml:space="preserve"> Data</w:t>
      </w:r>
      <w:r w:rsidRPr="002513B4">
        <w:t xml:space="preserve"> Record to indicate whether a proxy respondent was used on both completed mail and telephone survey cases.</w:t>
      </w:r>
    </w:p>
    <w:p w14:paraId="1C97EDE9" w14:textId="77777777" w:rsidR="00EE74F9" w:rsidRPr="002513B4" w:rsidRDefault="00EE74F9" w:rsidP="00EE74F9">
      <w:pPr>
        <w:pStyle w:val="ListBullet"/>
      </w:pPr>
      <w:r w:rsidRPr="002513B4">
        <w:t>Verify that all final disposition codes are correct. Vendors must make sure that no data are submitted for non-interview cases that are coded as deceased, ineligible, refusal, etc. Similarly, vendors should change the disposition code for a completed survey that does not pass the HHCAHPS completeness criteria to 310</w:t>
      </w:r>
      <w:r w:rsidR="002236A0" w:rsidRPr="002513B4">
        <w:t>—B</w:t>
      </w:r>
      <w:r w:rsidRPr="002513B4">
        <w:t>reakoff.</w:t>
      </w:r>
    </w:p>
    <w:p w14:paraId="0B8EC669" w14:textId="36CA7445" w:rsidR="00EE74F9" w:rsidRPr="002513B4" w:rsidRDefault="00EE74F9" w:rsidP="00EE74F9">
      <w:pPr>
        <w:pStyle w:val="ListBullet"/>
      </w:pPr>
      <w:r w:rsidRPr="002513B4">
        <w:t>Check that a response value has been entered for all data elements on the file. If data are missing for a data element, either the missing code (</w:t>
      </w:r>
      <w:r w:rsidR="002236A0" w:rsidRPr="002513B4">
        <w:t>“</w:t>
      </w:r>
      <w:r w:rsidRPr="002513B4">
        <w:t>M</w:t>
      </w:r>
      <w:r w:rsidR="002236A0" w:rsidRPr="002513B4">
        <w:t>”</w:t>
      </w:r>
      <w:r w:rsidRPr="002513B4">
        <w:t>) or the code for Not Applicable</w:t>
      </w:r>
      <w:r w:rsidR="002236A0" w:rsidRPr="002513B4">
        <w:t xml:space="preserve"> </w:t>
      </w:r>
      <w:r w:rsidRPr="002513B4">
        <w:t>must be entered</w:t>
      </w:r>
      <w:r w:rsidR="002236A0" w:rsidRPr="002513B4">
        <w:t xml:space="preserve"> (see</w:t>
      </w:r>
      <w:r w:rsidR="00346FF6" w:rsidRPr="002513B4">
        <w:t xml:space="preserve"> the XML data file layouts available on the </w:t>
      </w:r>
      <w:hyperlink r:id="rId138" w:history="1">
        <w:r w:rsidR="001666D5" w:rsidRPr="002513B4">
          <w:rPr>
            <w:rStyle w:val="Hyperlink"/>
          </w:rPr>
          <w:t>Data Submission Resources web</w:t>
        </w:r>
        <w:r w:rsidR="00DB4C5C" w:rsidRPr="002513B4">
          <w:rPr>
            <w:rStyle w:val="Hyperlink"/>
          </w:rPr>
          <w:t xml:space="preserve"> </w:t>
        </w:r>
        <w:r w:rsidR="001666D5" w:rsidRPr="002513B4">
          <w:rPr>
            <w:rStyle w:val="Hyperlink"/>
          </w:rPr>
          <w:t>page</w:t>
        </w:r>
      </w:hyperlink>
      <w:r w:rsidR="001666D5" w:rsidRPr="002513B4">
        <w:t> </w:t>
      </w:r>
      <w:r w:rsidR="001666D5" w:rsidRPr="002513B4">
        <w:rPr>
          <w:noProof/>
        </w:rPr>
        <w:drawing>
          <wp:inline distT="0" distB="0" distL="0" distR="0" wp14:anchorId="253842C8" wp14:editId="3E8BC347">
            <wp:extent cx="95250" cy="95250"/>
            <wp:effectExtent l="0" t="0" r="0" b="0"/>
            <wp:docPr id="1195716798"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666D5" w:rsidRPr="002513B4">
        <w:t xml:space="preserve"> of the </w:t>
      </w:r>
      <w:r w:rsidR="00346FF6" w:rsidRPr="002513B4">
        <w:t>HHCAHPS website and linked in</w:t>
      </w:r>
      <w:r w:rsidR="002236A0" w:rsidRPr="002513B4">
        <w:t xml:space="preserve"> </w:t>
      </w:r>
      <w:r w:rsidR="002236A0" w:rsidRPr="002513B4">
        <w:rPr>
          <w:b/>
          <w:bCs/>
          <w:i/>
          <w:iCs/>
        </w:rPr>
        <w:t>Appendix</w:t>
      </w:r>
      <w:r w:rsidR="002F0369" w:rsidRPr="002513B4">
        <w:rPr>
          <w:b/>
          <w:bCs/>
          <w:i/>
          <w:iCs/>
        </w:rPr>
        <w:t> </w:t>
      </w:r>
      <w:r w:rsidR="00346FF6" w:rsidRPr="002513B4">
        <w:rPr>
          <w:b/>
          <w:bCs/>
          <w:i/>
          <w:iCs/>
        </w:rPr>
        <w:t>A</w:t>
      </w:r>
      <w:r w:rsidR="002236A0" w:rsidRPr="002513B4">
        <w:t xml:space="preserve"> for valid values)</w:t>
      </w:r>
      <w:r w:rsidRPr="002513B4">
        <w:t>.</w:t>
      </w:r>
    </w:p>
    <w:p w14:paraId="7F5E578C" w14:textId="34FEC2DD" w:rsidR="00EE74F9" w:rsidRPr="002513B4" w:rsidRDefault="00EE74F9" w:rsidP="00EE74F9">
      <w:pPr>
        <w:pStyle w:val="ListBullet"/>
      </w:pPr>
      <w:r w:rsidRPr="002513B4">
        <w:t xml:space="preserve">Select a sample of patients for whom data are entered on the </w:t>
      </w:r>
      <w:r w:rsidR="00D818AA" w:rsidRPr="002513B4">
        <w:t>XML data file</w:t>
      </w:r>
      <w:r w:rsidRPr="002513B4">
        <w:t xml:space="preserve"> and compare the data elements entered in the Patient Administrative Data Record section of the XML with the information that the HHA provided for the sample patient on the monthly patient information file. Implementing this quality control check on a sample of the data records will ensure that data are correctly exported from the data source onto the </w:t>
      </w:r>
      <w:r w:rsidR="00D818AA" w:rsidRPr="002513B4">
        <w:t>XML data file</w:t>
      </w:r>
      <w:r w:rsidRPr="002513B4">
        <w:t>.</w:t>
      </w:r>
    </w:p>
    <w:p w14:paraId="615198E8" w14:textId="6B97627C" w:rsidR="00EE74F9" w:rsidRPr="002513B4" w:rsidRDefault="00284CBC" w:rsidP="00EE74F9">
      <w:pPr>
        <w:pStyle w:val="Heading4"/>
        <w:rPr>
          <w:lang w:val="en-US"/>
        </w:rPr>
      </w:pPr>
      <w:r w:rsidRPr="002513B4">
        <w:rPr>
          <w:lang w:val="en-US"/>
        </w:rPr>
        <w:t>10.7.4</w:t>
      </w:r>
      <w:r w:rsidR="002F0369" w:rsidRPr="002513B4">
        <w:rPr>
          <w:lang w:val="en-US"/>
        </w:rPr>
        <w:tab/>
      </w:r>
      <w:r w:rsidR="00EE74F9" w:rsidRPr="002513B4">
        <w:rPr>
          <w:lang w:val="en-US"/>
        </w:rPr>
        <w:t>XML Patient Response</w:t>
      </w:r>
      <w:r w:rsidR="002236A0" w:rsidRPr="002513B4">
        <w:rPr>
          <w:lang w:val="en-US"/>
        </w:rPr>
        <w:t xml:space="preserve"> Record</w:t>
      </w:r>
      <w:r w:rsidR="00EE74F9" w:rsidRPr="002513B4">
        <w:rPr>
          <w:lang w:val="en-US"/>
        </w:rPr>
        <w:t>s Quality Control</w:t>
      </w:r>
    </w:p>
    <w:p w14:paraId="1263F0A6" w14:textId="77777777" w:rsidR="00EE74F9" w:rsidRPr="002513B4" w:rsidRDefault="00EE74F9" w:rsidP="00EE74F9">
      <w:pPr>
        <w:pStyle w:val="ListBullet"/>
      </w:pPr>
      <w:r w:rsidRPr="002513B4">
        <w:t xml:space="preserve">Select a sample of </w:t>
      </w:r>
      <w:r w:rsidR="002236A0" w:rsidRPr="002513B4">
        <w:t xml:space="preserve">completed surveys </w:t>
      </w:r>
      <w:r w:rsidRPr="002513B4">
        <w:t xml:space="preserve">for whom data are entered on the </w:t>
      </w:r>
      <w:r w:rsidR="00D818AA" w:rsidRPr="002513B4">
        <w:t xml:space="preserve">XML data </w:t>
      </w:r>
      <w:proofErr w:type="gramStart"/>
      <w:r w:rsidR="00D818AA" w:rsidRPr="002513B4">
        <w:t>file</w:t>
      </w:r>
      <w:r w:rsidRPr="002513B4">
        <w:t>, and</w:t>
      </w:r>
      <w:proofErr w:type="gramEnd"/>
      <w:r w:rsidRPr="002513B4">
        <w:t xml:space="preserve"> compare the entries in the Patient Response Record section of the XML with the hardcopy questionnaire or scanned image of the patient’s completed survey; or, if the survey was completed by telephone, with the original CATI or telephone survey data file. Implementing this quality control check on a sample of the data </w:t>
      </w:r>
      <w:r w:rsidRPr="002513B4">
        <w:lastRenderedPageBreak/>
        <w:t xml:space="preserve">records will ensure that data are correctly exported from the data source onto the </w:t>
      </w:r>
      <w:r w:rsidR="00D818AA" w:rsidRPr="002513B4">
        <w:t>XML data file</w:t>
      </w:r>
      <w:r w:rsidRPr="002513B4">
        <w:t>.</w:t>
      </w:r>
    </w:p>
    <w:p w14:paraId="1F13C728" w14:textId="5F548ADD" w:rsidR="00EE74F9" w:rsidRPr="002513B4" w:rsidRDefault="00EE74F9" w:rsidP="00EE74F9">
      <w:pPr>
        <w:pStyle w:val="ListBullet"/>
      </w:pPr>
      <w:r w:rsidRPr="002513B4">
        <w:t xml:space="preserve">Check the completeness algorithm (described in </w:t>
      </w:r>
      <w:r w:rsidRPr="002513B4">
        <w:rPr>
          <w:b/>
          <w:i/>
        </w:rPr>
        <w:t>Chapter </w:t>
      </w:r>
      <w:r w:rsidR="00052BBA" w:rsidRPr="002513B4">
        <w:rPr>
          <w:b/>
          <w:i/>
        </w:rPr>
        <w:t>9</w:t>
      </w:r>
      <w:r w:rsidRPr="002513B4">
        <w:t xml:space="preserve">) for all cases for which there is a Patient Response </w:t>
      </w:r>
      <w:r w:rsidR="002236A0" w:rsidRPr="002513B4">
        <w:t>R</w:t>
      </w:r>
      <w:r w:rsidRPr="002513B4">
        <w:t xml:space="preserve">ecord on the </w:t>
      </w:r>
      <w:r w:rsidR="00D818AA" w:rsidRPr="002513B4">
        <w:t>XML data file</w:t>
      </w:r>
      <w:r w:rsidRPr="002513B4">
        <w:t xml:space="preserve">. The Data Center also checks respondent records on the </w:t>
      </w:r>
      <w:r w:rsidR="00D818AA" w:rsidRPr="002513B4">
        <w:t>XML data file</w:t>
      </w:r>
      <w:r w:rsidRPr="002513B4">
        <w:t xml:space="preserve"> to confirm that they meet HHCAHPS completeness criteria.</w:t>
      </w:r>
    </w:p>
    <w:p w14:paraId="54CBFB82" w14:textId="77777777" w:rsidR="00EE74F9" w:rsidRPr="002513B4" w:rsidRDefault="00EE74F9" w:rsidP="00EE74F9">
      <w:pPr>
        <w:pStyle w:val="BodyText"/>
        <w:rPr>
          <w:lang w:val="en-US"/>
        </w:rPr>
      </w:pPr>
    </w:p>
    <w:p w14:paraId="307C89FC" w14:textId="77777777" w:rsidR="00EE74F9" w:rsidRPr="002513B4" w:rsidRDefault="00EE74F9" w:rsidP="00EE74F9">
      <w:pPr>
        <w:pStyle w:val="ListParagraph"/>
        <w:sectPr w:rsidR="00EE74F9" w:rsidRPr="002513B4" w:rsidSect="00C85F17">
          <w:headerReference w:type="even" r:id="rId139"/>
          <w:headerReference w:type="default" r:id="rId140"/>
          <w:footerReference w:type="even" r:id="rId141"/>
          <w:footerReference w:type="default" r:id="rId142"/>
          <w:headerReference w:type="first" r:id="rId143"/>
          <w:pgSz w:w="12240" w:h="15840" w:code="1"/>
          <w:pgMar w:top="1440" w:right="1440" w:bottom="1440" w:left="1440" w:header="720" w:footer="720" w:gutter="0"/>
          <w:cols w:space="720"/>
          <w:titlePg/>
        </w:sectPr>
      </w:pPr>
    </w:p>
    <w:p w14:paraId="34C667A2" w14:textId="218A84D3" w:rsidR="00EE74F9" w:rsidRPr="002513B4" w:rsidRDefault="009F27F5" w:rsidP="00EE74F9">
      <w:pPr>
        <w:pStyle w:val="Heading2"/>
        <w:rPr>
          <w:rFonts w:eastAsia="Calibri"/>
          <w:szCs w:val="24"/>
          <w:lang w:val="en-US"/>
        </w:rPr>
      </w:pPr>
      <w:bookmarkStart w:id="380" w:name="_Toc224984457"/>
      <w:bookmarkStart w:id="381" w:name="_Toc343765454"/>
      <w:bookmarkStart w:id="382" w:name="_Toc402776526"/>
      <w:bookmarkStart w:id="383" w:name="_Toc217305622"/>
      <w:r w:rsidRPr="002513B4">
        <w:rPr>
          <w:lang w:val="en-US"/>
        </w:rPr>
        <w:lastRenderedPageBreak/>
        <w:t>Chapter</w:t>
      </w:r>
      <w:r w:rsidR="00284CBC" w:rsidRPr="002513B4">
        <w:rPr>
          <w:lang w:val="en-US"/>
        </w:rPr>
        <w:t xml:space="preserve"> 11: </w:t>
      </w:r>
      <w:r w:rsidR="00EE74F9" w:rsidRPr="002513B4">
        <w:rPr>
          <w:lang w:val="en-US"/>
        </w:rPr>
        <w:t xml:space="preserve">Home Health Care </w:t>
      </w:r>
      <w:r w:rsidR="00EE74F9" w:rsidRPr="002513B4">
        <w:rPr>
          <w:rFonts w:eastAsia="Calibri"/>
          <w:szCs w:val="24"/>
          <w:lang w:val="en-US"/>
        </w:rPr>
        <w:t xml:space="preserve">CAHPS Survey </w:t>
      </w:r>
      <w:r w:rsidR="00EE74F9" w:rsidRPr="002513B4">
        <w:rPr>
          <w:rFonts w:eastAsia="Calibri"/>
          <w:lang w:val="en-US"/>
        </w:rPr>
        <w:t>Website</w:t>
      </w:r>
      <w:r w:rsidR="00EE74F9" w:rsidRPr="002513B4">
        <w:rPr>
          <w:rFonts w:eastAsia="Calibri"/>
          <w:szCs w:val="24"/>
          <w:lang w:val="en-US"/>
        </w:rPr>
        <w:t xml:space="preserve"> Reports</w:t>
      </w:r>
      <w:bookmarkEnd w:id="380"/>
      <w:bookmarkEnd w:id="381"/>
      <w:bookmarkEnd w:id="382"/>
      <w:bookmarkEnd w:id="383"/>
    </w:p>
    <w:p w14:paraId="3A827896" w14:textId="5B1493BF" w:rsidR="00EE74F9" w:rsidRPr="002513B4" w:rsidRDefault="00284CBC" w:rsidP="00EE74F9">
      <w:pPr>
        <w:pStyle w:val="Heading3"/>
        <w:rPr>
          <w:rFonts w:eastAsia="Calibri"/>
          <w:lang w:val="en-US"/>
        </w:rPr>
      </w:pPr>
      <w:bookmarkStart w:id="384" w:name="_Toc251318187"/>
      <w:bookmarkStart w:id="385" w:name="_Toc407633115"/>
      <w:bookmarkStart w:id="386" w:name="_Toc24713393"/>
      <w:bookmarkStart w:id="387" w:name="_Toc217305623"/>
      <w:r w:rsidRPr="002513B4">
        <w:rPr>
          <w:rFonts w:eastAsia="Calibri"/>
          <w:lang w:val="en-US"/>
        </w:rPr>
        <w:t>11.1</w:t>
      </w:r>
      <w:r w:rsidRPr="002513B4">
        <w:rPr>
          <w:rFonts w:eastAsia="Calibri"/>
          <w:lang w:val="en-US"/>
        </w:rPr>
        <w:tab/>
      </w:r>
      <w:r w:rsidR="00EE74F9" w:rsidRPr="002513B4">
        <w:rPr>
          <w:rFonts w:eastAsia="Calibri"/>
          <w:lang w:val="en-US"/>
        </w:rPr>
        <w:t>Overview</w:t>
      </w:r>
      <w:bookmarkEnd w:id="384"/>
      <w:bookmarkEnd w:id="385"/>
      <w:bookmarkEnd w:id="386"/>
      <w:bookmarkEnd w:id="387"/>
    </w:p>
    <w:p w14:paraId="3A58D7F4" w14:textId="529DA5FB" w:rsidR="00EE74F9" w:rsidRPr="002513B4" w:rsidRDefault="00D43485" w:rsidP="00EE74F9">
      <w:pPr>
        <w:pStyle w:val="BodyText"/>
        <w:rPr>
          <w:lang w:val="en-US"/>
        </w:rPr>
      </w:pPr>
      <w:r w:rsidRPr="002513B4">
        <w:rPr>
          <w:rFonts w:eastAsia="Calibri"/>
          <w:szCs w:val="24"/>
          <w:lang w:val="en-US"/>
        </w:rPr>
        <w:t xml:space="preserve">A number of reports are available </w:t>
      </w:r>
      <w:r w:rsidR="00325074" w:rsidRPr="002513B4">
        <w:rPr>
          <w:rFonts w:eastAsia="Calibri"/>
          <w:szCs w:val="24"/>
          <w:lang w:val="en-US"/>
        </w:rPr>
        <w:t xml:space="preserve">from the </w:t>
      </w:r>
      <w:r w:rsidR="00EE74F9" w:rsidRPr="002513B4">
        <w:rPr>
          <w:rFonts w:eastAsia="Calibri"/>
          <w:szCs w:val="24"/>
          <w:lang w:val="en-US"/>
        </w:rPr>
        <w:t xml:space="preserve">HHCAHPS Data Center </w:t>
      </w:r>
      <w:r w:rsidR="00EE74F9" w:rsidRPr="002513B4">
        <w:rPr>
          <w:lang w:val="en-US"/>
        </w:rPr>
        <w:t xml:space="preserve">via the HHCAHPS Survey website </w:t>
      </w:r>
      <w:r w:rsidR="00325074" w:rsidRPr="002513B4">
        <w:rPr>
          <w:lang w:val="en-US"/>
        </w:rPr>
        <w:t xml:space="preserve">that vendors and HHAs </w:t>
      </w:r>
      <w:r w:rsidR="001268D1" w:rsidRPr="002513B4">
        <w:rPr>
          <w:lang w:val="en-US"/>
        </w:rPr>
        <w:t>can generate to</w:t>
      </w:r>
      <w:r w:rsidR="00EE74F9" w:rsidRPr="002513B4">
        <w:rPr>
          <w:lang w:val="en-US"/>
        </w:rPr>
        <w:t xml:space="preserve"> indicate the status of data </w:t>
      </w:r>
      <w:proofErr w:type="gramStart"/>
      <w:r w:rsidR="00EE74F9" w:rsidRPr="002513B4">
        <w:rPr>
          <w:lang w:val="en-US"/>
        </w:rPr>
        <w:t>submissions</w:t>
      </w:r>
      <w:proofErr w:type="gramEnd"/>
      <w:r w:rsidR="00EE74F9" w:rsidRPr="002513B4">
        <w:rPr>
          <w:lang w:val="en-US"/>
        </w:rPr>
        <w:t xml:space="preserve"> and the quality of the data submitted. </w:t>
      </w:r>
      <w:r w:rsidR="001268D1" w:rsidRPr="002513B4">
        <w:rPr>
          <w:lang w:val="en-US"/>
        </w:rPr>
        <w:t xml:space="preserve">We describe these </w:t>
      </w:r>
      <w:r w:rsidR="00EE74F9" w:rsidRPr="002513B4">
        <w:rPr>
          <w:lang w:val="en-US"/>
        </w:rPr>
        <w:t xml:space="preserve">reports </w:t>
      </w:r>
      <w:r w:rsidR="001268D1" w:rsidRPr="002513B4">
        <w:rPr>
          <w:lang w:val="en-US"/>
        </w:rPr>
        <w:t>i</w:t>
      </w:r>
      <w:r w:rsidR="00EE74F9" w:rsidRPr="002513B4">
        <w:rPr>
          <w:lang w:val="en-US"/>
        </w:rPr>
        <w:t>n the following sections.</w:t>
      </w:r>
    </w:p>
    <w:p w14:paraId="7D616DB9" w14:textId="106C4BD8" w:rsidR="00EE74F9" w:rsidRPr="002513B4" w:rsidRDefault="00284CBC" w:rsidP="00EE74F9">
      <w:pPr>
        <w:pStyle w:val="Heading3"/>
        <w:rPr>
          <w:lang w:val="en-US"/>
        </w:rPr>
      </w:pPr>
      <w:bookmarkStart w:id="388" w:name="_Toc224984459"/>
      <w:bookmarkStart w:id="389" w:name="_Toc251318188"/>
      <w:bookmarkStart w:id="390" w:name="_Toc407633116"/>
      <w:bookmarkStart w:id="391" w:name="_Toc24713394"/>
      <w:bookmarkStart w:id="392" w:name="_Toc217305624"/>
      <w:r w:rsidRPr="002513B4">
        <w:rPr>
          <w:rFonts w:eastAsia="Calibri"/>
          <w:lang w:val="en-US"/>
        </w:rPr>
        <w:t>11.2</w:t>
      </w:r>
      <w:r w:rsidRPr="002513B4">
        <w:rPr>
          <w:rFonts w:eastAsia="Calibri"/>
          <w:lang w:val="en-US"/>
        </w:rPr>
        <w:tab/>
      </w:r>
      <w:r w:rsidR="00EE74F9" w:rsidRPr="002513B4">
        <w:rPr>
          <w:lang w:val="en-US"/>
        </w:rPr>
        <w:t>Reports for Survey Vendors</w:t>
      </w:r>
      <w:bookmarkEnd w:id="388"/>
      <w:bookmarkEnd w:id="389"/>
      <w:bookmarkEnd w:id="390"/>
      <w:bookmarkEnd w:id="391"/>
      <w:bookmarkEnd w:id="392"/>
    </w:p>
    <w:p w14:paraId="1DBB5A5B" w14:textId="5B6DC1EF" w:rsidR="00EE74F9" w:rsidRPr="002513B4" w:rsidRDefault="00EE74F9" w:rsidP="00EE74F9">
      <w:pPr>
        <w:pStyle w:val="BodyText"/>
        <w:rPr>
          <w:lang w:val="en-US"/>
        </w:rPr>
      </w:pPr>
      <w:r w:rsidRPr="002513B4">
        <w:rPr>
          <w:lang w:val="en-US"/>
        </w:rPr>
        <w:t xml:space="preserve">Survey vendors will be able to access </w:t>
      </w:r>
      <w:proofErr w:type="gramStart"/>
      <w:r w:rsidRPr="002513B4">
        <w:rPr>
          <w:lang w:val="en-US"/>
        </w:rPr>
        <w:t>a number of</w:t>
      </w:r>
      <w:proofErr w:type="gramEnd"/>
      <w:r w:rsidRPr="002513B4">
        <w:rPr>
          <w:lang w:val="en-US"/>
        </w:rPr>
        <w:t xml:space="preserve"> reports via the secured section of the HHCAHPS Survey website. The most important of these is tied to the data submission and file review process—the </w:t>
      </w:r>
      <w:r w:rsidRPr="002513B4">
        <w:rPr>
          <w:i/>
          <w:iCs/>
          <w:lang w:val="en-US"/>
        </w:rPr>
        <w:t>Data Submission Summary Report</w:t>
      </w:r>
      <w:r w:rsidRPr="002513B4">
        <w:rPr>
          <w:lang w:val="en-US"/>
        </w:rPr>
        <w:t xml:space="preserve">. </w:t>
      </w:r>
      <w:r w:rsidR="009C7638" w:rsidRPr="002513B4">
        <w:rPr>
          <w:lang w:val="en-US"/>
        </w:rPr>
        <w:t xml:space="preserve">Closely tied in with this report is another way to view the data, which allows vendors to quickly identify whether incorrect vendor authorizations are causing a data submission failure—the </w:t>
      </w:r>
      <w:r w:rsidR="009C7638" w:rsidRPr="002513B4">
        <w:rPr>
          <w:i/>
          <w:iCs/>
          <w:lang w:val="en-US"/>
        </w:rPr>
        <w:t>Data Submission Validation Status</w:t>
      </w:r>
      <w:r w:rsidR="009C7638" w:rsidRPr="002513B4">
        <w:rPr>
          <w:lang w:val="en-US"/>
        </w:rPr>
        <w:t xml:space="preserve"> </w:t>
      </w:r>
      <w:r w:rsidR="009C7638" w:rsidRPr="002513B4">
        <w:rPr>
          <w:i/>
          <w:iCs/>
          <w:lang w:val="en-US"/>
        </w:rPr>
        <w:t>Report</w:t>
      </w:r>
      <w:r w:rsidR="009C7638" w:rsidRPr="002513B4">
        <w:rPr>
          <w:lang w:val="en-US"/>
        </w:rPr>
        <w:t xml:space="preserve">. </w:t>
      </w:r>
      <w:r w:rsidRPr="002513B4">
        <w:rPr>
          <w:lang w:val="en-US"/>
        </w:rPr>
        <w:t xml:space="preserve">Another important report is the </w:t>
      </w:r>
      <w:r w:rsidRPr="002513B4">
        <w:rPr>
          <w:i/>
          <w:lang w:val="en-US"/>
        </w:rPr>
        <w:t>Survey</w:t>
      </w:r>
      <w:r w:rsidRPr="002513B4">
        <w:rPr>
          <w:lang w:val="en-US"/>
        </w:rPr>
        <w:t xml:space="preserve"> </w:t>
      </w:r>
      <w:r w:rsidRPr="002513B4">
        <w:rPr>
          <w:i/>
          <w:lang w:val="en-US"/>
        </w:rPr>
        <w:t>Vendor</w:t>
      </w:r>
      <w:r w:rsidRPr="002513B4">
        <w:rPr>
          <w:lang w:val="en-US"/>
        </w:rPr>
        <w:t xml:space="preserve"> </w:t>
      </w:r>
      <w:r w:rsidRPr="002513B4">
        <w:rPr>
          <w:i/>
          <w:iCs/>
          <w:lang w:val="en-US"/>
        </w:rPr>
        <w:t>Authorization Report</w:t>
      </w:r>
      <w:r w:rsidRPr="002513B4">
        <w:rPr>
          <w:lang w:val="en-US"/>
        </w:rPr>
        <w:t xml:space="preserve">, which allows the survey vendor to view all HHAs that have authorized the vendor to collect and submit data on their behalf. A third report, </w:t>
      </w:r>
      <w:r w:rsidRPr="002513B4">
        <w:rPr>
          <w:i/>
          <w:lang w:val="en-US"/>
        </w:rPr>
        <w:t>APU Participation Summary Report</w:t>
      </w:r>
      <w:r w:rsidRPr="002513B4">
        <w:rPr>
          <w:lang w:val="en-US"/>
        </w:rPr>
        <w:t xml:space="preserve">, shows the months in the HHCAHPS Survey participation period for which the vendor has successfully submitted an HHCAHPS Survey </w:t>
      </w:r>
      <w:r w:rsidR="00D818AA" w:rsidRPr="002513B4">
        <w:rPr>
          <w:lang w:val="en-US"/>
        </w:rPr>
        <w:t xml:space="preserve">XML </w:t>
      </w:r>
      <w:r w:rsidRPr="002513B4">
        <w:rPr>
          <w:lang w:val="en-US"/>
        </w:rPr>
        <w:t>data file. Each of these reports is discussed separately below.</w:t>
      </w:r>
    </w:p>
    <w:p w14:paraId="37860A2F" w14:textId="015676D4" w:rsidR="00EE74F9" w:rsidRPr="002513B4" w:rsidRDefault="00284CBC" w:rsidP="00EE74F9">
      <w:pPr>
        <w:pStyle w:val="Heading4"/>
        <w:rPr>
          <w:lang w:val="en-US"/>
        </w:rPr>
      </w:pPr>
      <w:r w:rsidRPr="002513B4">
        <w:rPr>
          <w:lang w:val="en-US"/>
        </w:rPr>
        <w:t>11.2.1</w:t>
      </w:r>
      <w:r w:rsidR="002F0369" w:rsidRPr="002513B4">
        <w:rPr>
          <w:lang w:val="en-US"/>
        </w:rPr>
        <w:tab/>
      </w:r>
      <w:r w:rsidR="00EE74F9" w:rsidRPr="002513B4">
        <w:rPr>
          <w:lang w:val="en-US"/>
        </w:rPr>
        <w:t>Data Submission Summary Report</w:t>
      </w:r>
    </w:p>
    <w:p w14:paraId="2C417E99" w14:textId="2C312DBB" w:rsidR="00EE74F9" w:rsidRPr="002513B4" w:rsidRDefault="00EE74F9" w:rsidP="00EE74F9">
      <w:pPr>
        <w:pStyle w:val="BodyText"/>
        <w:rPr>
          <w:lang w:val="en-US"/>
        </w:rPr>
      </w:pPr>
      <w:r w:rsidRPr="002513B4">
        <w:rPr>
          <w:lang w:val="en-US"/>
        </w:rPr>
        <w:t xml:space="preserve">The Data Submission Report is generated at two different points in time. First, it is available to survey vendors immediately after the initial validation check has been run on uploaded </w:t>
      </w:r>
      <w:r w:rsidR="00D818AA" w:rsidRPr="002513B4">
        <w:rPr>
          <w:lang w:val="en-US"/>
        </w:rPr>
        <w:t xml:space="preserve">XML </w:t>
      </w:r>
      <w:r w:rsidRPr="002513B4">
        <w:rPr>
          <w:lang w:val="en-US"/>
        </w:rPr>
        <w:t xml:space="preserve">data files. The </w:t>
      </w:r>
      <w:r w:rsidR="00164CAE" w:rsidRPr="002513B4">
        <w:rPr>
          <w:lang w:val="en-US"/>
        </w:rPr>
        <w:t xml:space="preserve">report </w:t>
      </w:r>
      <w:r w:rsidRPr="002513B4">
        <w:rPr>
          <w:lang w:val="en-US"/>
        </w:rPr>
        <w:t>is then updated after the second validation checks have been run.</w:t>
      </w:r>
    </w:p>
    <w:p w14:paraId="67A27F08" w14:textId="1FBAD91D" w:rsidR="00EE74F9" w:rsidRPr="002513B4" w:rsidRDefault="00EE74F9" w:rsidP="00EE74F9">
      <w:pPr>
        <w:pStyle w:val="BodyText"/>
        <w:rPr>
          <w:lang w:val="en-US"/>
        </w:rPr>
      </w:pPr>
      <w:r w:rsidRPr="002513B4">
        <w:rPr>
          <w:lang w:val="en-US"/>
        </w:rPr>
        <w:t>After the survey vendor uploads a</w:t>
      </w:r>
      <w:r w:rsidR="00D818AA" w:rsidRPr="002513B4">
        <w:rPr>
          <w:lang w:val="en-US"/>
        </w:rPr>
        <w:t>n</w:t>
      </w:r>
      <w:r w:rsidRPr="002513B4">
        <w:rPr>
          <w:lang w:val="en-US"/>
        </w:rPr>
        <w:t xml:space="preserve"> </w:t>
      </w:r>
      <w:r w:rsidR="00D818AA" w:rsidRPr="002513B4">
        <w:rPr>
          <w:lang w:val="en-US"/>
        </w:rPr>
        <w:t xml:space="preserve">XML </w:t>
      </w:r>
      <w:r w:rsidRPr="002513B4">
        <w:rPr>
          <w:lang w:val="en-US"/>
        </w:rPr>
        <w:t xml:space="preserve">data file or files, the system will run the initial validation, checking for the correct file layout, missing data, duplicate SID numbers, invalid responses, and other items. The results of the initial validation check will be available in the Data Submission Report link that is emailed to the vendor. Examples of sample data submission reports at this stage can be found in Section 5 of the </w:t>
      </w:r>
      <w:r w:rsidRPr="002513B4">
        <w:rPr>
          <w:i/>
          <w:lang w:val="en-US"/>
        </w:rPr>
        <w:t>Website User and Data Submission Manual</w:t>
      </w:r>
      <w:r w:rsidR="001666D5" w:rsidRPr="002513B4">
        <w:rPr>
          <w:lang w:val="en-US"/>
        </w:rPr>
        <w:t xml:space="preserve">, available on the </w:t>
      </w:r>
      <w:hyperlink r:id="rId144" w:history="1">
        <w:r w:rsidR="001666D5" w:rsidRPr="002513B4">
          <w:rPr>
            <w:rStyle w:val="Hyperlink"/>
            <w:lang w:val="en-US"/>
          </w:rPr>
          <w:t>Data Submission Resources web</w:t>
        </w:r>
        <w:r w:rsidR="00DB4C5C" w:rsidRPr="002513B4">
          <w:rPr>
            <w:rStyle w:val="Hyperlink"/>
            <w:lang w:val="en-US"/>
          </w:rPr>
          <w:t xml:space="preserve"> </w:t>
        </w:r>
        <w:r w:rsidR="001666D5" w:rsidRPr="002513B4">
          <w:rPr>
            <w:rStyle w:val="Hyperlink"/>
            <w:lang w:val="en-US"/>
          </w:rPr>
          <w:t>page</w:t>
        </w:r>
      </w:hyperlink>
      <w:r w:rsidR="001666D5" w:rsidRPr="002513B4">
        <w:rPr>
          <w:lang w:val="en-US"/>
        </w:rPr>
        <w:t> </w:t>
      </w:r>
      <w:r w:rsidR="001666D5" w:rsidRPr="002513B4">
        <w:rPr>
          <w:noProof/>
          <w:lang w:val="en-US"/>
        </w:rPr>
        <w:drawing>
          <wp:inline distT="0" distB="0" distL="0" distR="0" wp14:anchorId="06C4710A" wp14:editId="21A0E115">
            <wp:extent cx="95250" cy="95250"/>
            <wp:effectExtent l="0" t="0" r="0" b="0"/>
            <wp:docPr id="960255997"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1666D5" w:rsidRPr="002513B4">
        <w:rPr>
          <w:lang w:val="en-US"/>
        </w:rPr>
        <w:t xml:space="preserve"> of the HHCAHPS website</w:t>
      </w:r>
      <w:r w:rsidRPr="002513B4">
        <w:rPr>
          <w:lang w:val="en-US"/>
        </w:rPr>
        <w:t>.</w:t>
      </w:r>
    </w:p>
    <w:p w14:paraId="5FF052BC" w14:textId="06382AD4" w:rsidR="00EE74F9" w:rsidRPr="002513B4" w:rsidRDefault="00EE74F9" w:rsidP="00EE74F9">
      <w:pPr>
        <w:pStyle w:val="BodyText"/>
        <w:rPr>
          <w:lang w:val="en-US"/>
        </w:rPr>
      </w:pPr>
      <w:r w:rsidRPr="002513B4">
        <w:rPr>
          <w:lang w:val="en-US"/>
        </w:rPr>
        <w:t xml:space="preserve">If the </w:t>
      </w:r>
      <w:r w:rsidR="00D818AA" w:rsidRPr="002513B4">
        <w:rPr>
          <w:lang w:val="en-US"/>
        </w:rPr>
        <w:t xml:space="preserve">XML </w:t>
      </w:r>
      <w:r w:rsidRPr="002513B4">
        <w:rPr>
          <w:lang w:val="en-US"/>
        </w:rPr>
        <w:t xml:space="preserve">data file successfully passes this initial check, the file will immediately go through the second data validation check and be completed within an hour. HHCAHPS Survey vendors will be notified via email that the results of the second validation check have been </w:t>
      </w:r>
      <w:r w:rsidRPr="002513B4">
        <w:rPr>
          <w:lang w:val="en-US"/>
        </w:rPr>
        <w:lastRenderedPageBreak/>
        <w:t>appended to the Data Submission Summary Report for each file that was uploaded. The Report will provide sufficient detail by CCN of errors that caused the files to be rejected, so that the vendor can fix those errors and resubmit the file(s). The Report will also indicate if the file has successfully passed this second validation check and been processed for public reporting.</w:t>
      </w:r>
    </w:p>
    <w:p w14:paraId="21A2E7AA" w14:textId="77777777" w:rsidR="00EE74F9" w:rsidRPr="002513B4" w:rsidRDefault="00EE74F9" w:rsidP="00EE74F9">
      <w:pPr>
        <w:pStyle w:val="BodyText"/>
        <w:rPr>
          <w:lang w:val="en-US"/>
        </w:rPr>
      </w:pPr>
      <w:r w:rsidRPr="002513B4">
        <w:rPr>
          <w:lang w:val="en-US"/>
        </w:rPr>
        <w:t xml:space="preserve">Files will be accepted or rejected based on the CCN. That is, if </w:t>
      </w:r>
      <w:proofErr w:type="gramStart"/>
      <w:r w:rsidRPr="002513B4">
        <w:rPr>
          <w:lang w:val="en-US"/>
        </w:rPr>
        <w:t>all of</w:t>
      </w:r>
      <w:proofErr w:type="gramEnd"/>
      <w:r w:rsidRPr="002513B4">
        <w:rPr>
          <w:lang w:val="en-US"/>
        </w:rPr>
        <w:t xml:space="preserve"> the records for a given CCN are accepted, the vendor does not need to resubmit that file. However, if the vendor submitted a file for multiple CCNs and one or more of those agencies has invalid records, the vendor will need to resubmit a file containing all records for the CCNs that had invalid records.</w:t>
      </w:r>
    </w:p>
    <w:p w14:paraId="1808D040" w14:textId="21F95263" w:rsidR="00B858C6" w:rsidRPr="002513B4" w:rsidRDefault="00EE74F9" w:rsidP="00EE74F9">
      <w:pPr>
        <w:pStyle w:val="BodyText"/>
        <w:rPr>
          <w:lang w:val="en-US"/>
        </w:rPr>
      </w:pPr>
      <w:r w:rsidRPr="002513B4">
        <w:rPr>
          <w:lang w:val="en-US"/>
        </w:rPr>
        <w:t>Survey vendors are strongly advised to submit files well in advance of the quarterly submission deadline. Submitting in advance gives vendors time to thoroughly check their Data Submission Reports, fix all errors, and confirm successful two-step resubmission prior to the 11:59 PM data submission deadline date for each quarter.</w:t>
      </w:r>
    </w:p>
    <w:p w14:paraId="2DCEB106" w14:textId="76EB8040" w:rsidR="00EE74F9" w:rsidRPr="002513B4" w:rsidRDefault="00284CBC" w:rsidP="000F7C9F">
      <w:pPr>
        <w:pStyle w:val="Heading4"/>
        <w:rPr>
          <w:lang w:val="en-US"/>
        </w:rPr>
      </w:pPr>
      <w:r w:rsidRPr="002513B4">
        <w:rPr>
          <w:lang w:val="en-US"/>
        </w:rPr>
        <w:t>11.2.2</w:t>
      </w:r>
      <w:r w:rsidR="000F7C9F" w:rsidRPr="002513B4">
        <w:rPr>
          <w:lang w:val="en-US"/>
        </w:rPr>
        <w:tab/>
      </w:r>
      <w:r w:rsidR="00EE74F9" w:rsidRPr="002513B4">
        <w:rPr>
          <w:lang w:val="en-US"/>
        </w:rPr>
        <w:t xml:space="preserve">Data Submission History </w:t>
      </w:r>
      <w:r w:rsidR="00477E3F" w:rsidRPr="002513B4">
        <w:rPr>
          <w:lang w:val="en-US"/>
        </w:rPr>
        <w:t xml:space="preserve">and Validation Status </w:t>
      </w:r>
      <w:r w:rsidR="00EE74F9" w:rsidRPr="002513B4">
        <w:rPr>
          <w:lang w:val="en-US"/>
        </w:rPr>
        <w:t>Report</w:t>
      </w:r>
      <w:r w:rsidR="003D778C" w:rsidRPr="002513B4">
        <w:rPr>
          <w:lang w:val="en-US"/>
        </w:rPr>
        <w:t>s</w:t>
      </w:r>
    </w:p>
    <w:p w14:paraId="6D6A03F3" w14:textId="77777777" w:rsidR="00EE74F9" w:rsidRPr="002513B4" w:rsidRDefault="00EE74F9" w:rsidP="00EE74F9">
      <w:pPr>
        <w:pStyle w:val="BodyText"/>
        <w:rPr>
          <w:lang w:val="en-US"/>
        </w:rPr>
      </w:pPr>
      <w:r w:rsidRPr="002513B4">
        <w:rPr>
          <w:lang w:val="en-US"/>
        </w:rPr>
        <w:t xml:space="preserve">HHCAHPS Survey vendors can view a history of their data submission activities via </w:t>
      </w:r>
      <w:r w:rsidR="00311B6B" w:rsidRPr="002513B4">
        <w:rPr>
          <w:lang w:val="en-US"/>
        </w:rPr>
        <w:t xml:space="preserve">three </w:t>
      </w:r>
      <w:r w:rsidRPr="002513B4">
        <w:rPr>
          <w:lang w:val="en-US"/>
        </w:rPr>
        <w:t xml:space="preserve">reports under the Data Submission Report menu option: </w:t>
      </w:r>
      <w:r w:rsidRPr="002513B4">
        <w:rPr>
          <w:i/>
          <w:iCs/>
          <w:lang w:val="en-US"/>
        </w:rPr>
        <w:t>Data Submission History</w:t>
      </w:r>
      <w:r w:rsidR="00311B6B" w:rsidRPr="002513B4">
        <w:rPr>
          <w:i/>
          <w:iCs/>
          <w:lang w:val="en-US"/>
        </w:rPr>
        <w:t>,</w:t>
      </w:r>
      <w:r w:rsidRPr="002513B4">
        <w:rPr>
          <w:i/>
          <w:iCs/>
          <w:lang w:val="en-US"/>
        </w:rPr>
        <w:t xml:space="preserve"> Data Submission History by Upload Date</w:t>
      </w:r>
      <w:r w:rsidR="00311B6B" w:rsidRPr="002513B4">
        <w:rPr>
          <w:lang w:val="en-US"/>
        </w:rPr>
        <w:t xml:space="preserve">, and </w:t>
      </w:r>
      <w:r w:rsidR="00311B6B" w:rsidRPr="002513B4">
        <w:rPr>
          <w:i/>
          <w:iCs/>
          <w:lang w:val="en-US"/>
        </w:rPr>
        <w:t>Data Submission Validation Status Report</w:t>
      </w:r>
      <w:r w:rsidRPr="002513B4">
        <w:rPr>
          <w:lang w:val="en-US"/>
        </w:rPr>
        <w:t xml:space="preserve">. The </w:t>
      </w:r>
      <w:r w:rsidRPr="002513B4">
        <w:rPr>
          <w:i/>
          <w:iCs/>
          <w:lang w:val="en-US"/>
        </w:rPr>
        <w:t xml:space="preserve">Data Submission History </w:t>
      </w:r>
      <w:r w:rsidRPr="002513B4">
        <w:rPr>
          <w:lang w:val="en-US"/>
        </w:rPr>
        <w:t xml:space="preserve">report allows vendors to see a summary or detailed list of data submission activity. The </w:t>
      </w:r>
      <w:r w:rsidRPr="002513B4">
        <w:rPr>
          <w:i/>
          <w:iCs/>
          <w:lang w:val="en-US"/>
        </w:rPr>
        <w:t>Data Submission History by Upload Date</w:t>
      </w:r>
      <w:r w:rsidRPr="002513B4">
        <w:rPr>
          <w:lang w:val="en-US"/>
        </w:rPr>
        <w:t xml:space="preserve"> allows vendors to search for a data submission report by upload date.</w:t>
      </w:r>
      <w:r w:rsidR="00311B6B" w:rsidRPr="002513B4">
        <w:rPr>
          <w:lang w:val="en-US"/>
        </w:rPr>
        <w:t xml:space="preserve"> The </w:t>
      </w:r>
      <w:r w:rsidR="00311B6B" w:rsidRPr="002513B4">
        <w:rPr>
          <w:i/>
          <w:iCs/>
          <w:lang w:val="en-US"/>
        </w:rPr>
        <w:t>Data Submission Validation Status</w:t>
      </w:r>
      <w:r w:rsidR="00311B6B" w:rsidRPr="002513B4">
        <w:rPr>
          <w:lang w:val="en-US"/>
        </w:rPr>
        <w:t xml:space="preserve"> report shows vendors their latest submissions by CCN, with failed submissions pulled to the top, along with a column showing whether the </w:t>
      </w:r>
      <w:r w:rsidR="00DA41A3" w:rsidRPr="002513B4">
        <w:rPr>
          <w:lang w:val="en-US"/>
        </w:rPr>
        <w:t xml:space="preserve">failure is the result of a </w:t>
      </w:r>
      <w:r w:rsidR="00311B6B" w:rsidRPr="002513B4">
        <w:rPr>
          <w:lang w:val="en-US"/>
        </w:rPr>
        <w:t xml:space="preserve">vendor authorization </w:t>
      </w:r>
      <w:r w:rsidR="00DA41A3" w:rsidRPr="002513B4">
        <w:rPr>
          <w:lang w:val="en-US"/>
        </w:rPr>
        <w:t>issue</w:t>
      </w:r>
      <w:r w:rsidR="00311B6B" w:rsidRPr="002513B4">
        <w:rPr>
          <w:lang w:val="en-US"/>
        </w:rPr>
        <w:t>.</w:t>
      </w:r>
      <w:r w:rsidR="00331BB3" w:rsidRPr="002513B4">
        <w:rPr>
          <w:lang w:val="en-US"/>
        </w:rPr>
        <w:t xml:space="preserve"> </w:t>
      </w:r>
      <w:r w:rsidR="00311B6B" w:rsidRPr="002513B4">
        <w:rPr>
          <w:lang w:val="en-US"/>
        </w:rPr>
        <w:t xml:space="preserve">This report was developed to allow vendors to quickly identify whether there are any HHAs that need to </w:t>
      </w:r>
      <w:r w:rsidR="006F10BC" w:rsidRPr="002513B4">
        <w:rPr>
          <w:lang w:val="en-US"/>
        </w:rPr>
        <w:t>initiate</w:t>
      </w:r>
      <w:r w:rsidR="00311B6B" w:rsidRPr="002513B4">
        <w:rPr>
          <w:lang w:val="en-US"/>
        </w:rPr>
        <w:t xml:space="preserve"> or correct a vendor authorization.</w:t>
      </w:r>
    </w:p>
    <w:p w14:paraId="172685A4" w14:textId="0A5FE849" w:rsidR="00EE74F9" w:rsidRPr="002513B4" w:rsidRDefault="00284CBC" w:rsidP="00EE74F9">
      <w:pPr>
        <w:pStyle w:val="Heading4"/>
        <w:rPr>
          <w:lang w:val="en-US"/>
        </w:rPr>
      </w:pPr>
      <w:r w:rsidRPr="002513B4">
        <w:rPr>
          <w:lang w:val="en-US"/>
        </w:rPr>
        <w:t>11.2.3</w:t>
      </w:r>
      <w:r w:rsidR="000F7C9F" w:rsidRPr="002513B4">
        <w:rPr>
          <w:lang w:val="en-US"/>
        </w:rPr>
        <w:tab/>
      </w:r>
      <w:r w:rsidR="00EE74F9" w:rsidRPr="002513B4">
        <w:rPr>
          <w:lang w:val="en-US"/>
        </w:rPr>
        <w:t>Survey Vendor Authorization Report</w:t>
      </w:r>
    </w:p>
    <w:p w14:paraId="3BE1A64A" w14:textId="179A10EB" w:rsidR="00EE74F9" w:rsidRPr="002513B4" w:rsidRDefault="00EE74F9" w:rsidP="00EE74F9">
      <w:pPr>
        <w:pStyle w:val="BodyText"/>
        <w:rPr>
          <w:lang w:val="en-US"/>
        </w:rPr>
      </w:pPr>
      <w:r w:rsidRPr="002513B4">
        <w:rPr>
          <w:lang w:val="en-US"/>
        </w:rPr>
        <w:t xml:space="preserve">The </w:t>
      </w:r>
      <w:r w:rsidRPr="002513B4">
        <w:rPr>
          <w:i/>
          <w:lang w:val="en-US"/>
        </w:rPr>
        <w:t>Survey Vendor Authorization Report</w:t>
      </w:r>
      <w:r w:rsidRPr="002513B4">
        <w:rPr>
          <w:lang w:val="en-US"/>
        </w:rPr>
        <w:t xml:space="preserve"> allows survey vendors to view a list of HHAs that have authorized the vendor to collect and submit data on their behalf. A survey vendor under contract with an HHA that has not yet been formally authorized by the HHA to submit data on the agency’s behalf should contact the HHA and ask it to do so. Any files a vendor submits for an HHA that has not formally authorized the vendor to submit data on its behalf will be rejected by the HHCAHPS Survey </w:t>
      </w:r>
      <w:r w:rsidR="00D818AA" w:rsidRPr="002513B4">
        <w:rPr>
          <w:lang w:val="en-US"/>
        </w:rPr>
        <w:t xml:space="preserve">XML </w:t>
      </w:r>
      <w:r w:rsidRPr="002513B4">
        <w:rPr>
          <w:lang w:val="en-US"/>
        </w:rPr>
        <w:t xml:space="preserve">data file submission system, because there is no formal link between the vendor and the HHA. </w:t>
      </w:r>
      <w:r w:rsidRPr="002513B4">
        <w:rPr>
          <w:b/>
          <w:bCs/>
          <w:i/>
          <w:lang w:val="en-US"/>
        </w:rPr>
        <w:t>It is the vendor’s responsibility to ensure that any HHA with which it is contracted to conduct the HHCAHPS Survey completes the authorization process</w:t>
      </w:r>
      <w:r w:rsidRPr="002513B4">
        <w:rPr>
          <w:i/>
          <w:lang w:val="en-US"/>
        </w:rPr>
        <w:t xml:space="preserve">. </w:t>
      </w:r>
      <w:r w:rsidRPr="002513B4">
        <w:rPr>
          <w:lang w:val="en-US"/>
        </w:rPr>
        <w:t>The HHCAHPS Data Center will reject data files if the HHA has not authorized the vendor to submit data on its behalf</w:t>
      </w:r>
      <w:r w:rsidR="00910021" w:rsidRPr="002513B4">
        <w:rPr>
          <w:lang w:val="en-US"/>
        </w:rPr>
        <w:t>,</w:t>
      </w:r>
      <w:r w:rsidRPr="002513B4">
        <w:rPr>
          <w:lang w:val="en-US"/>
        </w:rPr>
        <w:t xml:space="preserve"> or if the Start </w:t>
      </w:r>
      <w:r w:rsidR="004B60D9" w:rsidRPr="002513B4">
        <w:rPr>
          <w:lang w:val="en-US"/>
        </w:rPr>
        <w:t>D</w:t>
      </w:r>
      <w:r w:rsidRPr="002513B4">
        <w:rPr>
          <w:lang w:val="en-US"/>
        </w:rPr>
        <w:t xml:space="preserve">ate </w:t>
      </w:r>
      <w:r w:rsidRPr="002513B4">
        <w:rPr>
          <w:lang w:val="en-US"/>
        </w:rPr>
        <w:lastRenderedPageBreak/>
        <w:t>entered on the form that the vendor submitted is later than the first day of the sample month that the HHA begins its participation in the HHCAHPS Survey.</w:t>
      </w:r>
    </w:p>
    <w:p w14:paraId="5AB54A2F" w14:textId="77777777" w:rsidR="00EE74F9" w:rsidRPr="002513B4" w:rsidRDefault="00EE74F9" w:rsidP="00EE74F9">
      <w:pPr>
        <w:pStyle w:val="BodyText"/>
        <w:rPr>
          <w:lang w:val="en-US"/>
        </w:rPr>
      </w:pPr>
      <w:r w:rsidRPr="002513B4">
        <w:rPr>
          <w:lang w:val="en-US"/>
        </w:rPr>
        <w:t>If an HHA closes or is no longer active while its HHCAHPS Survey vendor is still contracted to conduct and provide survey data on its behalf, the vendor authorization that that HHA submitted will remain in effect for the entire authorization period. Closed and inactive HHAs are designated with an asterisk (*) symbol on the Vendor Authorization Report. The authorized vendor must submit the HHCAHPS Survey data that were collected for the closed HHA to the HHCAHPS Data Center.</w:t>
      </w:r>
    </w:p>
    <w:p w14:paraId="77EBDD17" w14:textId="7E4601B0" w:rsidR="00EE74F9" w:rsidRPr="002513B4" w:rsidRDefault="00284CBC" w:rsidP="00EE74F9">
      <w:pPr>
        <w:pStyle w:val="Heading4"/>
        <w:rPr>
          <w:lang w:val="en-US"/>
        </w:rPr>
      </w:pPr>
      <w:r w:rsidRPr="002513B4">
        <w:rPr>
          <w:lang w:val="en-US"/>
        </w:rPr>
        <w:t>11.2.4</w:t>
      </w:r>
      <w:r w:rsidR="000F7C9F" w:rsidRPr="002513B4">
        <w:rPr>
          <w:lang w:val="en-US"/>
        </w:rPr>
        <w:tab/>
      </w:r>
      <w:r w:rsidR="00EE74F9" w:rsidRPr="002513B4">
        <w:rPr>
          <w:lang w:val="en-US"/>
        </w:rPr>
        <w:t>APU Participation Summary Report</w:t>
      </w:r>
    </w:p>
    <w:p w14:paraId="2E8DAA67" w14:textId="6F168A50" w:rsidR="00EE74F9" w:rsidRPr="002513B4" w:rsidRDefault="00EE74F9" w:rsidP="00EE74F9">
      <w:pPr>
        <w:pStyle w:val="BodyText"/>
        <w:rPr>
          <w:lang w:val="en-US"/>
        </w:rPr>
      </w:pPr>
      <w:r w:rsidRPr="002513B4">
        <w:rPr>
          <w:lang w:val="en-US"/>
        </w:rPr>
        <w:t xml:space="preserve">The </w:t>
      </w:r>
      <w:r w:rsidRPr="002513B4">
        <w:rPr>
          <w:i/>
          <w:lang w:val="en-US"/>
        </w:rPr>
        <w:t>APU Participation Summary Report</w:t>
      </w:r>
      <w:r w:rsidRPr="002513B4">
        <w:rPr>
          <w:lang w:val="en-US"/>
        </w:rPr>
        <w:t xml:space="preserve"> show</w:t>
      </w:r>
      <w:r w:rsidR="003D778C" w:rsidRPr="002513B4">
        <w:rPr>
          <w:lang w:val="en-US"/>
        </w:rPr>
        <w:t>s</w:t>
      </w:r>
      <w:r w:rsidRPr="002513B4">
        <w:rPr>
          <w:lang w:val="en-US"/>
        </w:rPr>
        <w:t xml:space="preserve"> the sample months in each HHCAHPS Survey participation period for which the vendor has successfully submitted an </w:t>
      </w:r>
      <w:r w:rsidR="00D818AA" w:rsidRPr="002513B4">
        <w:rPr>
          <w:lang w:val="en-US"/>
        </w:rPr>
        <w:t>XML data file</w:t>
      </w:r>
      <w:r w:rsidRPr="002513B4">
        <w:rPr>
          <w:lang w:val="en-US"/>
        </w:rPr>
        <w:t xml:space="preserve">. Vendors should use this report in conjunction with their own data submission tracking reports to confirm that they have submitted an </w:t>
      </w:r>
      <w:r w:rsidR="00D818AA" w:rsidRPr="002513B4">
        <w:rPr>
          <w:lang w:val="en-US"/>
        </w:rPr>
        <w:t>XML data file</w:t>
      </w:r>
      <w:r w:rsidRPr="002513B4">
        <w:rPr>
          <w:lang w:val="en-US"/>
        </w:rPr>
        <w:t xml:space="preserve"> for each sample month and that the file was accepted. To access the </w:t>
      </w:r>
      <w:r w:rsidRPr="002513B4">
        <w:rPr>
          <w:i/>
          <w:lang w:val="en-US"/>
        </w:rPr>
        <w:t>APU Participation Summary Report</w:t>
      </w:r>
      <w:r w:rsidRPr="002513B4">
        <w:rPr>
          <w:lang w:val="en-US"/>
        </w:rPr>
        <w:t xml:space="preserve">, </w:t>
      </w:r>
      <w:r w:rsidR="004B60D9" w:rsidRPr="002513B4">
        <w:rPr>
          <w:lang w:val="en-US"/>
        </w:rPr>
        <w:t>select</w:t>
      </w:r>
      <w:r w:rsidRPr="002513B4">
        <w:rPr>
          <w:lang w:val="en-US"/>
        </w:rPr>
        <w:t xml:space="preserve"> Data Submission Reports on the HHCAHPS website, then </w:t>
      </w:r>
      <w:r w:rsidR="004B60D9" w:rsidRPr="002513B4">
        <w:rPr>
          <w:lang w:val="en-US"/>
        </w:rPr>
        <w:t xml:space="preserve">select </w:t>
      </w:r>
      <w:r w:rsidRPr="002513B4">
        <w:rPr>
          <w:lang w:val="en-US"/>
        </w:rPr>
        <w:t>the link to this report. Vendors can choose the APU participation period to be viewed. The APU participation period corresponds to the months for which Medicare-certified HHAs must administer the HHCAHPS Survey to receive the APU. For example, the HHCAHPS participation period for the CY 2021 APU is from April 2019 through March 2020.</w:t>
      </w:r>
    </w:p>
    <w:p w14:paraId="0BCEEC64" w14:textId="5846BDC7" w:rsidR="00EE74F9" w:rsidRPr="002513B4" w:rsidRDefault="00284CBC" w:rsidP="00EE74F9">
      <w:pPr>
        <w:pStyle w:val="Heading3"/>
        <w:rPr>
          <w:lang w:val="en-US"/>
        </w:rPr>
      </w:pPr>
      <w:bookmarkStart w:id="393" w:name="_Toc224984460"/>
      <w:bookmarkStart w:id="394" w:name="_Toc251318189"/>
      <w:bookmarkStart w:id="395" w:name="_Toc407633117"/>
      <w:bookmarkStart w:id="396" w:name="_Toc24713395"/>
      <w:bookmarkStart w:id="397" w:name="_Toc217305625"/>
      <w:r w:rsidRPr="002513B4">
        <w:rPr>
          <w:lang w:val="en-US"/>
        </w:rPr>
        <w:t>11.3</w:t>
      </w:r>
      <w:r w:rsidRPr="002513B4">
        <w:rPr>
          <w:lang w:val="en-US"/>
        </w:rPr>
        <w:tab/>
      </w:r>
      <w:r w:rsidR="00EE74F9" w:rsidRPr="002513B4">
        <w:rPr>
          <w:lang w:val="en-US"/>
        </w:rPr>
        <w:t>Reports for Home Health Agencies</w:t>
      </w:r>
      <w:bookmarkEnd w:id="393"/>
      <w:bookmarkEnd w:id="394"/>
      <w:bookmarkEnd w:id="395"/>
      <w:bookmarkEnd w:id="396"/>
      <w:bookmarkEnd w:id="397"/>
    </w:p>
    <w:p w14:paraId="1C4F69EF" w14:textId="77777777" w:rsidR="00EE74F9" w:rsidRPr="002513B4" w:rsidRDefault="00EE74F9" w:rsidP="00EE74F9">
      <w:pPr>
        <w:pStyle w:val="BodyText"/>
        <w:rPr>
          <w:lang w:val="en-US"/>
        </w:rPr>
      </w:pPr>
      <w:r w:rsidRPr="002513B4">
        <w:rPr>
          <w:lang w:val="en-US"/>
        </w:rPr>
        <w:t xml:space="preserve">HHAs </w:t>
      </w:r>
      <w:proofErr w:type="gramStart"/>
      <w:r w:rsidR="006F10BC" w:rsidRPr="002513B4">
        <w:rPr>
          <w:lang w:val="en-US"/>
        </w:rPr>
        <w:t>are</w:t>
      </w:r>
      <w:r w:rsidRPr="002513B4">
        <w:rPr>
          <w:lang w:val="en-US"/>
        </w:rPr>
        <w:t xml:space="preserve"> able to</w:t>
      </w:r>
      <w:proofErr w:type="gramEnd"/>
      <w:r w:rsidRPr="002513B4">
        <w:rPr>
          <w:lang w:val="en-US"/>
        </w:rPr>
        <w:t xml:space="preserve"> access two reports via the secured section of the HHCAHPS Survey website. The first report, the </w:t>
      </w:r>
      <w:r w:rsidRPr="002513B4">
        <w:rPr>
          <w:i/>
          <w:iCs/>
          <w:lang w:val="en-US"/>
        </w:rPr>
        <w:t xml:space="preserve">Data Submission </w:t>
      </w:r>
      <w:r w:rsidR="003D778C" w:rsidRPr="002513B4">
        <w:rPr>
          <w:i/>
          <w:iCs/>
          <w:lang w:val="en-US"/>
        </w:rPr>
        <w:t xml:space="preserve">History </w:t>
      </w:r>
      <w:r w:rsidRPr="002513B4">
        <w:rPr>
          <w:i/>
          <w:iCs/>
          <w:lang w:val="en-US"/>
        </w:rPr>
        <w:t>Report,</w:t>
      </w:r>
      <w:r w:rsidRPr="002513B4">
        <w:rPr>
          <w:lang w:val="en-US"/>
        </w:rPr>
        <w:t xml:space="preserve"> is intended to provide a means for the agency to monitor its vendor’s data submission activities and should be reviewed on a monthly or quarterly basis, depending on the agreement that the agency has worked out with the vendor in terms of frequency of data submission. The second report available to HHAs is the </w:t>
      </w:r>
      <w:r w:rsidRPr="002513B4">
        <w:rPr>
          <w:i/>
          <w:lang w:val="en-US"/>
        </w:rPr>
        <w:t>HHCAHPS Survey Results for Public Reporting</w:t>
      </w:r>
      <w:r w:rsidRPr="002513B4">
        <w:rPr>
          <w:lang w:val="en-US"/>
        </w:rPr>
        <w:t>―this report is a preview of the HHCAHPS Survey results that are compiled for each HHA on a quarterly basis prior to being publicly reported. These reports are discussed below.</w:t>
      </w:r>
    </w:p>
    <w:p w14:paraId="2D9FB2BE" w14:textId="20D4159D" w:rsidR="00EE74F9" w:rsidRPr="002513B4" w:rsidRDefault="00284CBC" w:rsidP="00EE74F9">
      <w:pPr>
        <w:pStyle w:val="Heading4"/>
        <w:rPr>
          <w:lang w:val="en-US"/>
        </w:rPr>
      </w:pPr>
      <w:r w:rsidRPr="002513B4">
        <w:rPr>
          <w:lang w:val="en-US"/>
        </w:rPr>
        <w:t xml:space="preserve">11.3.1 </w:t>
      </w:r>
      <w:r w:rsidR="00D36432" w:rsidRPr="002513B4">
        <w:rPr>
          <w:lang w:val="en-US"/>
        </w:rPr>
        <w:tab/>
      </w:r>
      <w:r w:rsidR="00EE74F9" w:rsidRPr="002513B4">
        <w:rPr>
          <w:lang w:val="en-US"/>
        </w:rPr>
        <w:t xml:space="preserve">Data Submission </w:t>
      </w:r>
      <w:r w:rsidR="003D778C" w:rsidRPr="002513B4">
        <w:rPr>
          <w:lang w:val="en-US"/>
        </w:rPr>
        <w:t xml:space="preserve">History </w:t>
      </w:r>
      <w:r w:rsidR="00EE74F9" w:rsidRPr="002513B4">
        <w:rPr>
          <w:lang w:val="en-US"/>
        </w:rPr>
        <w:t>Report</w:t>
      </w:r>
    </w:p>
    <w:p w14:paraId="6298F059" w14:textId="2A367897" w:rsidR="00EE74F9" w:rsidRPr="002513B4" w:rsidRDefault="00EE74F9" w:rsidP="00EE74F9">
      <w:pPr>
        <w:pStyle w:val="BodyText"/>
        <w:rPr>
          <w:lang w:val="en-US"/>
        </w:rPr>
      </w:pPr>
      <w:r w:rsidRPr="002513B4">
        <w:rPr>
          <w:lang w:val="en-US"/>
        </w:rPr>
        <w:t xml:space="preserve">The </w:t>
      </w:r>
      <w:r w:rsidRPr="002513B4">
        <w:rPr>
          <w:i/>
          <w:lang w:val="en-US"/>
        </w:rPr>
        <w:t xml:space="preserve">Data Submission </w:t>
      </w:r>
      <w:r w:rsidR="003D778C" w:rsidRPr="002513B4">
        <w:rPr>
          <w:i/>
          <w:lang w:val="en-US"/>
        </w:rPr>
        <w:t xml:space="preserve">History </w:t>
      </w:r>
      <w:r w:rsidRPr="002513B4">
        <w:rPr>
          <w:i/>
          <w:lang w:val="en-US"/>
        </w:rPr>
        <w:t>Report</w:t>
      </w:r>
      <w:r w:rsidRPr="002513B4">
        <w:rPr>
          <w:lang w:val="en-US"/>
        </w:rPr>
        <w:t xml:space="preserve"> is available to HHAs from the </w:t>
      </w:r>
      <w:r w:rsidRPr="002513B4">
        <w:rPr>
          <w:i/>
          <w:iCs/>
          <w:lang w:val="en-US"/>
        </w:rPr>
        <w:t>For HHAs</w:t>
      </w:r>
      <w:r w:rsidRPr="002513B4">
        <w:rPr>
          <w:lang w:val="en-US"/>
        </w:rPr>
        <w:t xml:space="preserve"> </w:t>
      </w:r>
      <w:r w:rsidR="00884F98" w:rsidRPr="002513B4">
        <w:rPr>
          <w:lang w:val="en-US"/>
        </w:rPr>
        <w:t xml:space="preserve">menu </w:t>
      </w:r>
      <w:r w:rsidRPr="002513B4">
        <w:rPr>
          <w:lang w:val="en-US"/>
        </w:rPr>
        <w:t>on the HHCAHPS Survey website. HHAs that have contracted with a survey vendor will be able to log in to the website and view, print, and download a report that includes information on the number of submissions and the submission status of their contracted vendor’s monthly or quarterly file submissions.</w:t>
      </w:r>
    </w:p>
    <w:p w14:paraId="2049718F" w14:textId="77777777" w:rsidR="00EE74F9" w:rsidRPr="002513B4" w:rsidRDefault="00EE74F9" w:rsidP="00EE74F9">
      <w:pPr>
        <w:pStyle w:val="BodyText"/>
        <w:rPr>
          <w:lang w:val="en-US"/>
        </w:rPr>
      </w:pPr>
      <w:r w:rsidRPr="002513B4">
        <w:rPr>
          <w:lang w:val="en-US"/>
        </w:rPr>
        <w:lastRenderedPageBreak/>
        <w:t xml:space="preserve">The </w:t>
      </w:r>
      <w:r w:rsidRPr="002513B4">
        <w:rPr>
          <w:i/>
          <w:lang w:val="en-US"/>
        </w:rPr>
        <w:t xml:space="preserve">Data Submission </w:t>
      </w:r>
      <w:r w:rsidR="003D778C" w:rsidRPr="002513B4">
        <w:rPr>
          <w:i/>
          <w:lang w:val="en-US"/>
        </w:rPr>
        <w:t xml:space="preserve">History </w:t>
      </w:r>
      <w:r w:rsidRPr="002513B4">
        <w:rPr>
          <w:i/>
          <w:lang w:val="en-US"/>
        </w:rPr>
        <w:t>Report</w:t>
      </w:r>
      <w:r w:rsidRPr="002513B4">
        <w:rPr>
          <w:lang w:val="en-US"/>
        </w:rPr>
        <w:t xml:space="preserve"> displays </w:t>
      </w:r>
      <w:proofErr w:type="gramStart"/>
      <w:r w:rsidRPr="002513B4">
        <w:rPr>
          <w:lang w:val="en-US"/>
        </w:rPr>
        <w:t>all of</w:t>
      </w:r>
      <w:proofErr w:type="gramEnd"/>
      <w:r w:rsidRPr="002513B4">
        <w:rPr>
          <w:lang w:val="en-US"/>
        </w:rPr>
        <w:t xml:space="preserve"> the dates on which the Data Center accepted the </w:t>
      </w:r>
      <w:r w:rsidR="00D702E8" w:rsidRPr="002513B4">
        <w:rPr>
          <w:lang w:val="en-US"/>
        </w:rPr>
        <w:t xml:space="preserve">XML </w:t>
      </w:r>
      <w:r w:rsidRPr="002513B4">
        <w:rPr>
          <w:lang w:val="en-US"/>
        </w:rPr>
        <w:t xml:space="preserve">data files the vendor submitted for the HHA. Only files that passed </w:t>
      </w:r>
      <w:r w:rsidRPr="002513B4">
        <w:rPr>
          <w:i/>
          <w:iCs/>
          <w:lang w:val="en-US"/>
        </w:rPr>
        <w:t xml:space="preserve">both </w:t>
      </w:r>
      <w:r w:rsidRPr="002513B4">
        <w:rPr>
          <w:lang w:val="en-US"/>
        </w:rPr>
        <w:t xml:space="preserve">the initial edit checks implemented during file upload and those that passed the second set of edit checks will be listed on this report. The purpose of this report is to allow an HHA to monitor whether its vendor is successfully submitting data files by the required quarterly data submission deadlines. An HHA can use this report for reference when it follows up with its vendor if expected data submissions do not appear. </w:t>
      </w:r>
    </w:p>
    <w:p w14:paraId="3C962BA7" w14:textId="77777777" w:rsidR="00EE74F9" w:rsidRPr="002513B4" w:rsidRDefault="00EE74F9" w:rsidP="00EE74F9">
      <w:pPr>
        <w:pStyle w:val="BodyText"/>
        <w:rPr>
          <w:lang w:val="en-US"/>
        </w:rPr>
      </w:pPr>
      <w:r w:rsidRPr="002513B4">
        <w:rPr>
          <w:lang w:val="en-US"/>
        </w:rPr>
        <w:t>To protect the confidentiality of each HHA and the vendor it has selected, only the HHA and its authorized vendor will be able to view the submission history relating to that agency’s data.</w:t>
      </w:r>
    </w:p>
    <w:p w14:paraId="6815820D" w14:textId="5F57E653" w:rsidR="00EE74F9" w:rsidRPr="002513B4" w:rsidRDefault="00407A1E" w:rsidP="00EE74F9">
      <w:pPr>
        <w:pStyle w:val="Heading4"/>
        <w:rPr>
          <w:lang w:val="en-US"/>
        </w:rPr>
      </w:pPr>
      <w:r w:rsidRPr="002513B4">
        <w:rPr>
          <w:lang w:val="en-US"/>
        </w:rPr>
        <w:t>11.3.2</w:t>
      </w:r>
      <w:r w:rsidR="00D36432" w:rsidRPr="002513B4">
        <w:rPr>
          <w:lang w:val="en-US"/>
        </w:rPr>
        <w:tab/>
      </w:r>
      <w:r w:rsidR="00EE74F9" w:rsidRPr="002513B4">
        <w:rPr>
          <w:lang w:val="en-US"/>
        </w:rPr>
        <w:t>HHCAHPS Survey Preview Report for Public Reporting</w:t>
      </w:r>
    </w:p>
    <w:p w14:paraId="0A2292B8" w14:textId="77777777" w:rsidR="00BB6A45" w:rsidRDefault="00EE74F9" w:rsidP="00BB6A45">
      <w:pPr>
        <w:pStyle w:val="BodyText"/>
        <w:rPr>
          <w:szCs w:val="24"/>
          <w:lang w:val="en-US"/>
        </w:rPr>
      </w:pPr>
      <w:r w:rsidRPr="002513B4">
        <w:rPr>
          <w:lang w:val="en-US"/>
        </w:rPr>
        <w:t xml:space="preserve">The </w:t>
      </w:r>
      <w:r w:rsidRPr="002513B4">
        <w:rPr>
          <w:i/>
          <w:iCs/>
          <w:lang w:val="en-US"/>
        </w:rPr>
        <w:t>HHCAHPS Survey Preview Report</w:t>
      </w:r>
      <w:r w:rsidRPr="002513B4">
        <w:rPr>
          <w:lang w:val="en-US"/>
        </w:rPr>
        <w:t xml:space="preserve"> provide</w:t>
      </w:r>
      <w:r w:rsidR="006F10BC" w:rsidRPr="002513B4">
        <w:rPr>
          <w:lang w:val="en-US"/>
        </w:rPr>
        <w:t>s</w:t>
      </w:r>
      <w:r w:rsidRPr="002513B4">
        <w:rPr>
          <w:lang w:val="en-US"/>
        </w:rPr>
        <w:t xml:space="preserve"> HHAs with a preview of their agency’s survey results that will be publicly reported on the </w:t>
      </w:r>
      <w:hyperlink r:id="rId145" w:history="1">
        <w:r w:rsidR="00D965E3" w:rsidRPr="002513B4">
          <w:rPr>
            <w:rStyle w:val="Hyperlink"/>
            <w:lang w:val="en-US"/>
          </w:rPr>
          <w:t>Care Compare website</w:t>
        </w:r>
      </w:hyperlink>
      <w:r w:rsidRPr="002513B4">
        <w:rPr>
          <w:lang w:val="en-US"/>
        </w:rPr>
        <w:t xml:space="preserve">. The preview report is made available approximately </w:t>
      </w:r>
      <w:r w:rsidR="00910021" w:rsidRPr="002513B4">
        <w:rPr>
          <w:lang w:val="en-US"/>
        </w:rPr>
        <w:t>3</w:t>
      </w:r>
      <w:r w:rsidRPr="002513B4">
        <w:rPr>
          <w:lang w:val="en-US"/>
        </w:rPr>
        <w:t xml:space="preserve"> weeks before the HHCAHPS Survey results are publicly reported. </w:t>
      </w:r>
      <w:r w:rsidRPr="002513B4">
        <w:rPr>
          <w:szCs w:val="24"/>
          <w:lang w:val="en-US"/>
        </w:rPr>
        <w:t xml:space="preserve">Agencies </w:t>
      </w:r>
      <w:proofErr w:type="gramStart"/>
      <w:r w:rsidRPr="002513B4">
        <w:rPr>
          <w:szCs w:val="24"/>
          <w:lang w:val="en-US"/>
        </w:rPr>
        <w:t>are able to</w:t>
      </w:r>
      <w:proofErr w:type="gramEnd"/>
      <w:r w:rsidRPr="002513B4">
        <w:rPr>
          <w:szCs w:val="24"/>
          <w:lang w:val="en-US"/>
        </w:rPr>
        <w:t xml:space="preserve"> access their Preview Report(s) via the secure side of the HHCAHPS website. To access the reports, agencies must log into the HHCAHPS website using their username and password and then select the “Preview Reports” link under the </w:t>
      </w:r>
      <w:r w:rsidRPr="002513B4">
        <w:rPr>
          <w:i/>
          <w:iCs/>
          <w:szCs w:val="24"/>
          <w:lang w:val="en-US"/>
        </w:rPr>
        <w:t>For HHAs</w:t>
      </w:r>
      <w:r w:rsidRPr="002513B4">
        <w:rPr>
          <w:szCs w:val="24"/>
          <w:lang w:val="en-US"/>
        </w:rPr>
        <w:t xml:space="preserve"> </w:t>
      </w:r>
      <w:r w:rsidR="00BD61B9" w:rsidRPr="002513B4">
        <w:rPr>
          <w:szCs w:val="24"/>
          <w:lang w:val="en-US"/>
        </w:rPr>
        <w:t>menu</w:t>
      </w:r>
      <w:r w:rsidRPr="002513B4">
        <w:rPr>
          <w:szCs w:val="24"/>
          <w:lang w:val="en-US"/>
        </w:rPr>
        <w:t>. HHAs participating in the HHCAHPS Survey will have access to their own reports. The Preview Report will not be available to the HHCAHPS Survey vendor or to anyone other than the HHA.</w:t>
      </w:r>
      <w:bookmarkStart w:id="398" w:name="_Toc224984461"/>
      <w:bookmarkStart w:id="399" w:name="_Toc343765458"/>
      <w:bookmarkStart w:id="400" w:name="_Toc402776530"/>
    </w:p>
    <w:p w14:paraId="529E48FB" w14:textId="292129B2" w:rsidR="00467D0F" w:rsidRDefault="00467D0F">
      <w:pPr>
        <w:spacing w:after="0" w:line="240" w:lineRule="auto"/>
        <w:rPr>
          <w:lang w:val="x-none" w:eastAsia="x-none"/>
        </w:rPr>
      </w:pPr>
      <w:r>
        <w:br w:type="page"/>
      </w:r>
    </w:p>
    <w:p w14:paraId="78496BCD" w14:textId="77777777" w:rsidR="00BB6A45" w:rsidRDefault="00BB6A45" w:rsidP="00BB6A45">
      <w:pPr>
        <w:pStyle w:val="BodyText"/>
        <w:sectPr w:rsidR="00BB6A45" w:rsidSect="008D28E4">
          <w:headerReference w:type="even" r:id="rId146"/>
          <w:headerReference w:type="default" r:id="rId147"/>
          <w:type w:val="oddPage"/>
          <w:pgSz w:w="12240" w:h="15840" w:code="1"/>
          <w:pgMar w:top="1440" w:right="1440" w:bottom="1440" w:left="1440" w:header="720" w:footer="720" w:gutter="0"/>
          <w:cols w:space="720"/>
          <w:titlePg/>
        </w:sectPr>
      </w:pPr>
    </w:p>
    <w:p w14:paraId="02CB5061" w14:textId="16FAF7E2" w:rsidR="00EE74F9" w:rsidRPr="002513B4" w:rsidRDefault="009F27F5" w:rsidP="00EE74F9">
      <w:pPr>
        <w:pStyle w:val="Heading2"/>
        <w:rPr>
          <w:lang w:val="en-US"/>
        </w:rPr>
      </w:pPr>
      <w:bookmarkStart w:id="401" w:name="_Toc217305626"/>
      <w:r w:rsidRPr="002513B4">
        <w:rPr>
          <w:lang w:val="en-US"/>
        </w:rPr>
        <w:lastRenderedPageBreak/>
        <w:t>Chapter</w:t>
      </w:r>
      <w:r w:rsidR="00407A1E" w:rsidRPr="002513B4">
        <w:rPr>
          <w:lang w:val="en-US"/>
        </w:rPr>
        <w:t xml:space="preserve"> 12:</w:t>
      </w:r>
      <w:r w:rsidR="00EE74F9" w:rsidRPr="002513B4">
        <w:rPr>
          <w:lang w:val="en-US"/>
        </w:rPr>
        <w:t xml:space="preserve"> Oversight Activities</w:t>
      </w:r>
      <w:bookmarkEnd w:id="398"/>
      <w:bookmarkEnd w:id="399"/>
      <w:bookmarkEnd w:id="400"/>
      <w:bookmarkEnd w:id="401"/>
    </w:p>
    <w:p w14:paraId="4CD75B2D" w14:textId="05F6772E" w:rsidR="00EE74F9" w:rsidRPr="002513B4" w:rsidRDefault="00407A1E" w:rsidP="00EE74F9">
      <w:pPr>
        <w:pStyle w:val="Heading3"/>
        <w:rPr>
          <w:lang w:val="en-US"/>
        </w:rPr>
      </w:pPr>
      <w:bookmarkStart w:id="402" w:name="_Toc251318191"/>
      <w:bookmarkStart w:id="403" w:name="_Toc407633119"/>
      <w:bookmarkStart w:id="404" w:name="_Toc24713397"/>
      <w:bookmarkStart w:id="405" w:name="_Toc217305627"/>
      <w:r w:rsidRPr="002513B4">
        <w:rPr>
          <w:lang w:val="en-US"/>
        </w:rPr>
        <w:t>12.1</w:t>
      </w:r>
      <w:r w:rsidRPr="002513B4">
        <w:rPr>
          <w:lang w:val="en-US"/>
        </w:rPr>
        <w:tab/>
      </w:r>
      <w:r w:rsidR="00EE74F9" w:rsidRPr="002513B4">
        <w:rPr>
          <w:lang w:val="en-US"/>
        </w:rPr>
        <w:t>Overview</w:t>
      </w:r>
      <w:bookmarkEnd w:id="402"/>
      <w:bookmarkEnd w:id="403"/>
      <w:bookmarkEnd w:id="404"/>
      <w:bookmarkEnd w:id="405"/>
    </w:p>
    <w:p w14:paraId="7CD1A131" w14:textId="53EFDD5B" w:rsidR="00EE74F9" w:rsidRPr="002513B4" w:rsidRDefault="00562173" w:rsidP="00EE74F9">
      <w:pPr>
        <w:pStyle w:val="BodyText"/>
        <w:rPr>
          <w:lang w:val="en-US"/>
        </w:rPr>
      </w:pPr>
      <w:r w:rsidRPr="002513B4">
        <w:rPr>
          <w:lang w:val="en-US"/>
        </w:rPr>
        <w:t>In t</w:t>
      </w:r>
      <w:r w:rsidR="00EE74F9" w:rsidRPr="002513B4">
        <w:rPr>
          <w:lang w:val="en-US"/>
        </w:rPr>
        <w:t>his chapter</w:t>
      </w:r>
      <w:r w:rsidRPr="002513B4">
        <w:rPr>
          <w:lang w:val="en-US"/>
        </w:rPr>
        <w:t xml:space="preserve"> we </w:t>
      </w:r>
      <w:r w:rsidR="00EE74F9" w:rsidRPr="002513B4">
        <w:rPr>
          <w:lang w:val="en-US"/>
        </w:rPr>
        <w:t xml:space="preserve">describe </w:t>
      </w:r>
      <w:r w:rsidRPr="002513B4">
        <w:rPr>
          <w:lang w:val="en-US"/>
        </w:rPr>
        <w:t xml:space="preserve">the </w:t>
      </w:r>
      <w:r w:rsidR="00EE74F9" w:rsidRPr="002513B4">
        <w:rPr>
          <w:lang w:val="en-US"/>
        </w:rPr>
        <w:t xml:space="preserve">oversight activities that </w:t>
      </w:r>
      <w:r w:rsidR="006F10BC" w:rsidRPr="002513B4">
        <w:rPr>
          <w:lang w:val="en-US"/>
        </w:rPr>
        <w:t>are</w:t>
      </w:r>
      <w:r w:rsidR="00EE74F9" w:rsidRPr="002513B4">
        <w:rPr>
          <w:lang w:val="en-US"/>
        </w:rPr>
        <w:t xml:space="preserve"> conducted by the HHCAHPS Survey Coordination Team to ensure that the survey is being administered according to required HHCAHPS Survey protocols. Requirements for vendor QAPs, data review activities to be conducted by the Coordination Team, communication between the Coordination Team and the vendors, and site visit procedures are described in the following sections.</w:t>
      </w:r>
    </w:p>
    <w:p w14:paraId="1121CF76" w14:textId="79079A77" w:rsidR="00EE74F9" w:rsidRPr="002513B4" w:rsidRDefault="00407A1E" w:rsidP="00EE74F9">
      <w:pPr>
        <w:pStyle w:val="Heading3"/>
        <w:rPr>
          <w:lang w:val="en-US"/>
        </w:rPr>
      </w:pPr>
      <w:bookmarkStart w:id="406" w:name="_Toc224984463"/>
      <w:bookmarkStart w:id="407" w:name="_Toc251318192"/>
      <w:bookmarkStart w:id="408" w:name="_Toc407633120"/>
      <w:bookmarkStart w:id="409" w:name="_Toc24713398"/>
      <w:bookmarkStart w:id="410" w:name="_Toc217305628"/>
      <w:r w:rsidRPr="002513B4">
        <w:rPr>
          <w:lang w:val="en-US"/>
        </w:rPr>
        <w:t>12.2</w:t>
      </w:r>
      <w:r w:rsidRPr="002513B4">
        <w:rPr>
          <w:lang w:val="en-US"/>
        </w:rPr>
        <w:tab/>
      </w:r>
      <w:r w:rsidR="00EE74F9" w:rsidRPr="002513B4">
        <w:rPr>
          <w:lang w:val="en-US"/>
        </w:rPr>
        <w:t>Quality Assurance Plan</w:t>
      </w:r>
      <w:bookmarkEnd w:id="406"/>
      <w:bookmarkEnd w:id="407"/>
      <w:bookmarkEnd w:id="408"/>
      <w:bookmarkEnd w:id="409"/>
      <w:bookmarkEnd w:id="410"/>
    </w:p>
    <w:p w14:paraId="5920A2AE" w14:textId="77777777" w:rsidR="00EE74F9" w:rsidRPr="002513B4" w:rsidRDefault="00EE74F9" w:rsidP="00EE74F9">
      <w:pPr>
        <w:pStyle w:val="BodyText"/>
        <w:rPr>
          <w:lang w:val="en-US"/>
        </w:rPr>
      </w:pPr>
      <w:r w:rsidRPr="002513B4">
        <w:rPr>
          <w:lang w:val="en-US"/>
        </w:rPr>
        <w:t>All vendors approv</w:t>
      </w:r>
      <w:r w:rsidR="00794522" w:rsidRPr="002513B4">
        <w:rPr>
          <w:lang w:val="en-US"/>
        </w:rPr>
        <w:t>ed</w:t>
      </w:r>
      <w:r w:rsidRPr="002513B4">
        <w:rPr>
          <w:lang w:val="en-US"/>
        </w:rPr>
        <w:t xml:space="preserve"> to conduct the HHCAHPS Survey must submit a QAP, a document that describes how the vendor implement</w:t>
      </w:r>
      <w:r w:rsidR="006D349A" w:rsidRPr="002513B4">
        <w:rPr>
          <w:lang w:val="en-US"/>
        </w:rPr>
        <w:t>s</w:t>
      </w:r>
      <w:r w:rsidRPr="002513B4">
        <w:rPr>
          <w:lang w:val="en-US"/>
        </w:rPr>
        <w:t>, compl</w:t>
      </w:r>
      <w:r w:rsidR="006D349A" w:rsidRPr="002513B4">
        <w:rPr>
          <w:lang w:val="en-US"/>
        </w:rPr>
        <w:t>ies</w:t>
      </w:r>
      <w:r w:rsidRPr="002513B4">
        <w:rPr>
          <w:lang w:val="en-US"/>
        </w:rPr>
        <w:t xml:space="preserve"> </w:t>
      </w:r>
      <w:r w:rsidR="004F1FC0" w:rsidRPr="002513B4">
        <w:rPr>
          <w:lang w:val="en-US"/>
        </w:rPr>
        <w:t>with</w:t>
      </w:r>
      <w:r w:rsidRPr="002513B4">
        <w:rPr>
          <w:lang w:val="en-US"/>
        </w:rPr>
        <w:t xml:space="preserve"> and provide</w:t>
      </w:r>
      <w:r w:rsidR="006D349A" w:rsidRPr="002513B4">
        <w:rPr>
          <w:lang w:val="en-US"/>
        </w:rPr>
        <w:t>s</w:t>
      </w:r>
      <w:r w:rsidRPr="002513B4">
        <w:rPr>
          <w:lang w:val="en-US"/>
        </w:rPr>
        <w:t xml:space="preserve"> oversight of all sampling, survey, and data processing activities associated with the HHCAHPS Survey.</w:t>
      </w:r>
    </w:p>
    <w:p w14:paraId="540DCB9F" w14:textId="7EB30620" w:rsidR="00EE74F9" w:rsidRPr="002513B4" w:rsidRDefault="00EE74F9" w:rsidP="00EE74F9">
      <w:pPr>
        <w:pStyle w:val="BodyText"/>
        <w:rPr>
          <w:lang w:val="en-US"/>
        </w:rPr>
      </w:pPr>
      <w:r w:rsidRPr="002513B4">
        <w:rPr>
          <w:lang w:val="en-US"/>
        </w:rPr>
        <w:t>The first QAP must be submitted within 6 weeks of the data submission deadline date after the vendor’s first quarterly data submission. It must be updated and submitted annually thereafter and at any time that changes occur in staff or vendor capabilities or systems</w:t>
      </w:r>
      <w:r w:rsidR="006D349A" w:rsidRPr="002513B4">
        <w:rPr>
          <w:lang w:val="en-US"/>
        </w:rPr>
        <w:t>, or if the organization is acquired/merged with another survey vendor</w:t>
      </w:r>
      <w:r w:rsidRPr="002513B4">
        <w:rPr>
          <w:lang w:val="en-US"/>
        </w:rPr>
        <w:t>.</w:t>
      </w:r>
      <w:r w:rsidR="00284EAE" w:rsidRPr="002513B4">
        <w:rPr>
          <w:lang w:val="en-US"/>
        </w:rPr>
        <w:t xml:space="preserve"> It is important that each annual QAP Update reflects only new changes implemented since the last approved version of the QAP.</w:t>
      </w:r>
    </w:p>
    <w:p w14:paraId="30496782" w14:textId="4C4C54EE" w:rsidR="00EE74F9" w:rsidRPr="002513B4" w:rsidRDefault="00EE74F9" w:rsidP="00EE74F9">
      <w:pPr>
        <w:pStyle w:val="BodyText"/>
        <w:rPr>
          <w:lang w:val="en-US"/>
        </w:rPr>
      </w:pPr>
      <w:r w:rsidRPr="002513B4">
        <w:rPr>
          <w:lang w:val="en-US"/>
        </w:rPr>
        <w:t xml:space="preserve">A </w:t>
      </w:r>
      <w:hyperlink r:id="rId148" w:history="1">
        <w:r w:rsidR="00D965E3" w:rsidRPr="002513B4">
          <w:rPr>
            <w:rStyle w:val="Hyperlink"/>
            <w:lang w:val="en-US"/>
          </w:rPr>
          <w:t>Model QAP</w:t>
        </w:r>
      </w:hyperlink>
      <w:r w:rsidR="00D965E3" w:rsidRPr="002513B4">
        <w:rPr>
          <w:lang w:val="en-US"/>
        </w:rPr>
        <w:t> </w:t>
      </w:r>
      <w:r w:rsidR="00D965E3" w:rsidRPr="002513B4">
        <w:rPr>
          <w:noProof/>
          <w:lang w:val="en-US"/>
        </w:rPr>
        <w:drawing>
          <wp:inline distT="0" distB="0" distL="0" distR="0" wp14:anchorId="27631AE2" wp14:editId="200B2393">
            <wp:extent cx="95250" cy="95250"/>
            <wp:effectExtent l="0" t="0" r="0" b="0"/>
            <wp:docPr id="183813718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lang w:val="en-US"/>
        </w:rPr>
        <w:t xml:space="preserve"> is </w:t>
      </w:r>
      <w:r w:rsidR="006D349A" w:rsidRPr="002513B4">
        <w:rPr>
          <w:lang w:val="en-US"/>
        </w:rPr>
        <w:t xml:space="preserve">available on the HHCAHPS website </w:t>
      </w:r>
      <w:r w:rsidR="00DF4FC5" w:rsidRPr="002513B4">
        <w:rPr>
          <w:lang w:val="en-US"/>
        </w:rPr>
        <w:t xml:space="preserve">and linked in </w:t>
      </w:r>
      <w:r w:rsidR="00DF4FC5" w:rsidRPr="002513B4">
        <w:rPr>
          <w:b/>
          <w:bCs/>
          <w:i/>
          <w:iCs/>
          <w:lang w:val="en-US"/>
        </w:rPr>
        <w:t>Appendix A</w:t>
      </w:r>
      <w:r w:rsidR="00DF4FC5" w:rsidRPr="002513B4">
        <w:rPr>
          <w:lang w:val="en-US"/>
        </w:rPr>
        <w:t xml:space="preserve"> </w:t>
      </w:r>
      <w:r w:rsidRPr="002513B4">
        <w:rPr>
          <w:lang w:val="en-US"/>
        </w:rPr>
        <w:t>to assist vendors in the development of their own QAP. The vendor’s QAP should include the following sections:</w:t>
      </w:r>
    </w:p>
    <w:p w14:paraId="0B14AA6A" w14:textId="77777777" w:rsidR="00EE74F9" w:rsidRPr="002513B4" w:rsidRDefault="00EE74F9" w:rsidP="00EE74F9">
      <w:pPr>
        <w:pStyle w:val="ListBullet"/>
      </w:pPr>
      <w:r w:rsidRPr="002513B4">
        <w:t>Organization Background and Staff Experience</w:t>
      </w:r>
    </w:p>
    <w:p w14:paraId="32DA6339" w14:textId="77777777" w:rsidR="00EE74F9" w:rsidRPr="002513B4" w:rsidRDefault="00EE74F9" w:rsidP="00EE74F9">
      <w:pPr>
        <w:pStyle w:val="ListBullet"/>
      </w:pPr>
      <w:r w:rsidRPr="002513B4">
        <w:t>Work Plan</w:t>
      </w:r>
    </w:p>
    <w:p w14:paraId="7F1D5CD1" w14:textId="77777777" w:rsidR="00EE74F9" w:rsidRPr="002513B4" w:rsidRDefault="00EE74F9" w:rsidP="00EE74F9">
      <w:pPr>
        <w:pStyle w:val="ListBullet"/>
      </w:pPr>
      <w:r w:rsidRPr="002513B4">
        <w:t>Sampling Plan</w:t>
      </w:r>
    </w:p>
    <w:p w14:paraId="247EB956" w14:textId="77777777" w:rsidR="00EE74F9" w:rsidRPr="002513B4" w:rsidRDefault="00EE74F9" w:rsidP="00EE74F9">
      <w:pPr>
        <w:pStyle w:val="ListBullet"/>
      </w:pPr>
      <w:r w:rsidRPr="002513B4">
        <w:t>Survey Implementation Plan</w:t>
      </w:r>
    </w:p>
    <w:p w14:paraId="2C98D203" w14:textId="77777777" w:rsidR="00EE74F9" w:rsidRPr="002513B4" w:rsidRDefault="00EE74F9" w:rsidP="00EE74F9">
      <w:pPr>
        <w:pStyle w:val="ListBullet"/>
      </w:pPr>
      <w:r w:rsidRPr="002513B4">
        <w:t>Data Security, Confidentiality, and Privacy Plan</w:t>
      </w:r>
    </w:p>
    <w:p w14:paraId="7DBD98A6" w14:textId="77777777" w:rsidR="00EE74F9" w:rsidRPr="002513B4" w:rsidRDefault="00EE74F9" w:rsidP="00EE74F9">
      <w:pPr>
        <w:pStyle w:val="ListBullet"/>
      </w:pPr>
      <w:r w:rsidRPr="002513B4">
        <w:t>Questionnaire Attachments</w:t>
      </w:r>
    </w:p>
    <w:p w14:paraId="6D961728" w14:textId="2C0C49A0" w:rsidR="00EE74F9" w:rsidRPr="002513B4" w:rsidRDefault="00EE74F9" w:rsidP="00EE74F9">
      <w:pPr>
        <w:pStyle w:val="BodyText"/>
        <w:rPr>
          <w:lang w:val="en-US"/>
        </w:rPr>
      </w:pPr>
      <w:r w:rsidRPr="002513B4">
        <w:rPr>
          <w:lang w:val="en-US"/>
        </w:rPr>
        <w:t xml:space="preserve">Within each section, the vendor must specify all key staff responsible for implementing or overseeing the activity or activities, procedures, and methods being used, and quality assurance activities that will be implemented. Changes to key staff must be reported to the HHCAHPS Survey Coordination Team. There should be sufficient detail provided for </w:t>
      </w:r>
      <w:proofErr w:type="gramStart"/>
      <w:r w:rsidRPr="002513B4">
        <w:rPr>
          <w:lang w:val="en-US"/>
        </w:rPr>
        <w:t>all of</w:t>
      </w:r>
      <w:proofErr w:type="gramEnd"/>
      <w:r w:rsidRPr="002513B4">
        <w:rPr>
          <w:lang w:val="en-US"/>
        </w:rPr>
        <w:t xml:space="preserve"> these components so that the CMS can evaluate whether the vendor is complying with all </w:t>
      </w:r>
      <w:r w:rsidRPr="002513B4">
        <w:rPr>
          <w:lang w:val="en-US"/>
        </w:rPr>
        <w:lastRenderedPageBreak/>
        <w:t xml:space="preserve">approved protocols. If the vendor’s QAP </w:t>
      </w:r>
      <w:r w:rsidR="00284EAE" w:rsidRPr="002513B4">
        <w:rPr>
          <w:lang w:val="en-US"/>
        </w:rPr>
        <w:t>does not have</w:t>
      </w:r>
      <w:r w:rsidRPr="002513B4">
        <w:rPr>
          <w:lang w:val="en-US"/>
        </w:rPr>
        <w:t xml:space="preserve"> sufficient detail to make this determination, the Coordination Team will request that the vendor make additions or edits to its QAP and resubmit it. Vendors </w:t>
      </w:r>
      <w:r w:rsidR="001E5544" w:rsidRPr="002513B4">
        <w:rPr>
          <w:lang w:val="en-US"/>
        </w:rPr>
        <w:t>are also</w:t>
      </w:r>
      <w:r w:rsidRPr="002513B4">
        <w:rPr>
          <w:lang w:val="en-US"/>
        </w:rPr>
        <w:t xml:space="preserve"> required to submit either a copy of the mail questionnaire (for mail and mixed-mode surveys) </w:t>
      </w:r>
      <w:r w:rsidR="00284EAE" w:rsidRPr="002513B4">
        <w:rPr>
          <w:lang w:val="en-US"/>
        </w:rPr>
        <w:t>and/</w:t>
      </w:r>
      <w:r w:rsidRPr="002513B4">
        <w:rPr>
          <w:lang w:val="en-US"/>
        </w:rPr>
        <w:t>or the screenshots from their electronic telephone interview (for telephone surveys) as part of their QAP</w:t>
      </w:r>
      <w:r w:rsidR="00284EAE" w:rsidRPr="002513B4">
        <w:rPr>
          <w:lang w:val="en-US"/>
        </w:rPr>
        <w:t>, depending on the mode(s) approved</w:t>
      </w:r>
      <w:r w:rsidRPr="002513B4">
        <w:rPr>
          <w:lang w:val="en-US"/>
        </w:rPr>
        <w:t xml:space="preserve">. </w:t>
      </w:r>
      <w:r w:rsidRPr="002513B4">
        <w:rPr>
          <w:b/>
          <w:bCs/>
          <w:i/>
          <w:iCs/>
          <w:lang w:val="en-US"/>
        </w:rPr>
        <w:t>Note that the submission of a completed QAP is one of the components of the vendor approval process</w:t>
      </w:r>
      <w:r w:rsidRPr="002513B4">
        <w:rPr>
          <w:lang w:val="en-US"/>
        </w:rPr>
        <w:t>.</w:t>
      </w:r>
    </w:p>
    <w:p w14:paraId="3203474D" w14:textId="4C90CFB9" w:rsidR="00EE74F9" w:rsidRPr="002513B4" w:rsidRDefault="00EE74F9" w:rsidP="00EE74F9">
      <w:pPr>
        <w:pStyle w:val="BodyText"/>
        <w:rPr>
          <w:lang w:val="en-US"/>
        </w:rPr>
      </w:pPr>
      <w:r w:rsidRPr="002513B4">
        <w:rPr>
          <w:lang w:val="en-US"/>
        </w:rPr>
        <w:t xml:space="preserve">When preparing the QAP, vendors should review and refer to the </w:t>
      </w:r>
      <w:hyperlink r:id="rId149" w:history="1">
        <w:r w:rsidR="00D965E3" w:rsidRPr="002513B4">
          <w:rPr>
            <w:rStyle w:val="Hyperlink"/>
            <w:lang w:val="en-US"/>
          </w:rPr>
          <w:t>Model QAP</w:t>
        </w:r>
      </w:hyperlink>
      <w:r w:rsidR="00D965E3" w:rsidRPr="002513B4">
        <w:rPr>
          <w:lang w:val="en-US"/>
        </w:rPr>
        <w:t> </w:t>
      </w:r>
      <w:r w:rsidR="00D965E3" w:rsidRPr="002513B4">
        <w:rPr>
          <w:noProof/>
          <w:lang w:val="en-US"/>
        </w:rPr>
        <w:drawing>
          <wp:inline distT="0" distB="0" distL="0" distR="0" wp14:anchorId="6A7DC5F8" wp14:editId="7620AC28">
            <wp:extent cx="95250" cy="95250"/>
            <wp:effectExtent l="0" t="0" r="0" b="0"/>
            <wp:docPr id="39832326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001D4E92" w:rsidRPr="002513B4">
        <w:rPr>
          <w:lang w:val="en-US"/>
        </w:rPr>
        <w:t xml:space="preserve"> </w:t>
      </w:r>
      <w:r w:rsidRPr="002513B4">
        <w:rPr>
          <w:lang w:val="en-US"/>
        </w:rPr>
        <w:t xml:space="preserve">to ensure that they provide all information requested, including detailed information about systems, protocols, and processes, so that the </w:t>
      </w:r>
      <w:r w:rsidR="00F2734F" w:rsidRPr="002513B4">
        <w:rPr>
          <w:lang w:val="en-US"/>
        </w:rPr>
        <w:t>HHCAHPS Survey Coordination Team</w:t>
      </w:r>
      <w:r w:rsidRPr="002513B4">
        <w:rPr>
          <w:lang w:val="en-US"/>
        </w:rPr>
        <w:t xml:space="preserve"> can assess how the survey is being implemented. </w:t>
      </w:r>
      <w:r w:rsidR="005C58D8" w:rsidRPr="002513B4">
        <w:rPr>
          <w:lang w:val="en-US"/>
        </w:rPr>
        <w:t>It is recommended that v</w:t>
      </w:r>
      <w:r w:rsidRPr="002513B4">
        <w:rPr>
          <w:lang w:val="en-US"/>
        </w:rPr>
        <w:t xml:space="preserve">endors organize the information in their QAPs to conform to the sections included in the Model QAP </w:t>
      </w:r>
      <w:r w:rsidR="001D4E92" w:rsidRPr="002513B4">
        <w:rPr>
          <w:lang w:val="en-US"/>
        </w:rPr>
        <w:t xml:space="preserve">Outline </w:t>
      </w:r>
      <w:r w:rsidRPr="002513B4">
        <w:rPr>
          <w:lang w:val="en-US"/>
        </w:rPr>
        <w:t xml:space="preserve">and make sure that the QAP is paginated for ease of reference and review by CMS and the Coordination Team. </w:t>
      </w:r>
    </w:p>
    <w:p w14:paraId="3D6F9AA9" w14:textId="2216B1FD" w:rsidR="0084253F" w:rsidRPr="002513B4" w:rsidRDefault="006368CD" w:rsidP="0084253F">
      <w:pPr>
        <w:pStyle w:val="BodyText"/>
        <w:contextualSpacing/>
        <w:rPr>
          <w:lang w:val="en-US"/>
        </w:rPr>
      </w:pPr>
      <w:r w:rsidRPr="002513B4">
        <w:rPr>
          <w:b/>
          <w:bCs/>
          <w:lang w:val="en-US"/>
        </w:rPr>
        <w:t>NOTE:</w:t>
      </w:r>
      <w:r w:rsidRPr="002513B4">
        <w:rPr>
          <w:lang w:val="en-US"/>
        </w:rPr>
        <w:t xml:space="preserve"> </w:t>
      </w:r>
      <w:r w:rsidR="0084253F" w:rsidRPr="002513B4">
        <w:rPr>
          <w:lang w:val="en-US"/>
        </w:rPr>
        <w:t xml:space="preserve">The use of embedded documents for the purpose of QAP submissions is prohibited. </w:t>
      </w:r>
    </w:p>
    <w:p w14:paraId="7D8D0C33" w14:textId="77777777" w:rsidR="0084253F" w:rsidRPr="002513B4" w:rsidRDefault="0084253F" w:rsidP="0084253F">
      <w:pPr>
        <w:pStyle w:val="BodyText"/>
        <w:contextualSpacing/>
        <w:rPr>
          <w:lang w:val="en-US"/>
        </w:rPr>
      </w:pPr>
      <w:r w:rsidRPr="002513B4">
        <w:rPr>
          <w:lang w:val="en-US"/>
        </w:rPr>
        <w:t xml:space="preserve">Vendors are permitted to include QAP survey materials as appendices or submit a zipped file </w:t>
      </w:r>
    </w:p>
    <w:p w14:paraId="7CB4C90C" w14:textId="1937C16D" w:rsidR="0084253F" w:rsidRPr="002513B4" w:rsidRDefault="0084253F" w:rsidP="0084253F">
      <w:pPr>
        <w:pStyle w:val="BodyText"/>
        <w:contextualSpacing/>
        <w:rPr>
          <w:lang w:val="en-US"/>
        </w:rPr>
      </w:pPr>
      <w:r w:rsidRPr="002513B4">
        <w:rPr>
          <w:lang w:val="en-US"/>
        </w:rPr>
        <w:t xml:space="preserve">containing the materials templates to the HHCAHPS </w:t>
      </w:r>
      <w:r w:rsidR="005E78A6" w:rsidRPr="002513B4">
        <w:rPr>
          <w:lang w:val="en-US"/>
        </w:rPr>
        <w:t xml:space="preserve">Survey </w:t>
      </w:r>
      <w:r w:rsidRPr="002513B4">
        <w:rPr>
          <w:lang w:val="en-US"/>
        </w:rPr>
        <w:t xml:space="preserve">Coordination Team via email at </w:t>
      </w:r>
      <w:hyperlink r:id="rId150" w:history="1">
        <w:r w:rsidRPr="002513B4">
          <w:rPr>
            <w:rStyle w:val="Hyperlink"/>
            <w:lang w:val="en-US"/>
          </w:rPr>
          <w:t>hhcahps@rti.org</w:t>
        </w:r>
      </w:hyperlink>
      <w:r w:rsidRPr="002513B4">
        <w:rPr>
          <w:lang w:val="en-US"/>
        </w:rPr>
        <w:t xml:space="preserve">. </w:t>
      </w:r>
    </w:p>
    <w:p w14:paraId="42D332DC" w14:textId="4789551C" w:rsidR="00EE74F9" w:rsidRPr="002513B4" w:rsidRDefault="00407A1E" w:rsidP="00EE74F9">
      <w:pPr>
        <w:pStyle w:val="Heading3"/>
        <w:rPr>
          <w:lang w:val="en-US"/>
        </w:rPr>
      </w:pPr>
      <w:bookmarkStart w:id="411" w:name="_Toc224984464"/>
      <w:bookmarkStart w:id="412" w:name="_Toc251318193"/>
      <w:bookmarkStart w:id="413" w:name="_Toc407633121"/>
      <w:bookmarkStart w:id="414" w:name="_Toc24713399"/>
      <w:bookmarkStart w:id="415" w:name="_Toc217305629"/>
      <w:r w:rsidRPr="002513B4">
        <w:rPr>
          <w:lang w:val="en-US"/>
        </w:rPr>
        <w:t>12.3</w:t>
      </w:r>
      <w:r w:rsidRPr="002513B4">
        <w:rPr>
          <w:lang w:val="en-US"/>
        </w:rPr>
        <w:tab/>
      </w:r>
      <w:r w:rsidR="00EE74F9" w:rsidRPr="002513B4">
        <w:rPr>
          <w:lang w:val="en-US"/>
        </w:rPr>
        <w:t>Data Review</w:t>
      </w:r>
      <w:bookmarkEnd w:id="411"/>
      <w:bookmarkEnd w:id="412"/>
      <w:bookmarkEnd w:id="413"/>
      <w:bookmarkEnd w:id="414"/>
      <w:bookmarkEnd w:id="415"/>
    </w:p>
    <w:p w14:paraId="3B52EC40" w14:textId="6A586A71" w:rsidR="00EE74F9" w:rsidRPr="002513B4" w:rsidRDefault="00EE74F9" w:rsidP="00EE74F9">
      <w:pPr>
        <w:pStyle w:val="BodyText"/>
        <w:rPr>
          <w:lang w:val="en-US"/>
        </w:rPr>
      </w:pPr>
      <w:r w:rsidRPr="002513B4">
        <w:rPr>
          <w:lang w:val="en-US"/>
        </w:rPr>
        <w:t xml:space="preserve">The HHCAHPS Survey Coordination Team conduct ongoing reviews of the data submitted by each survey vendor. As discussed in </w:t>
      </w:r>
      <w:r w:rsidRPr="002513B4">
        <w:rPr>
          <w:b/>
          <w:i/>
          <w:lang w:val="en-US"/>
        </w:rPr>
        <w:t>Chapter </w:t>
      </w:r>
      <w:r w:rsidR="00052BBA" w:rsidRPr="002513B4">
        <w:rPr>
          <w:b/>
          <w:i/>
          <w:lang w:val="en-US"/>
        </w:rPr>
        <w:t>10</w:t>
      </w:r>
      <w:r w:rsidRPr="002513B4">
        <w:rPr>
          <w:lang w:val="en-US"/>
        </w:rPr>
        <w:t xml:space="preserve">, </w:t>
      </w:r>
      <w:r w:rsidR="00D702E8" w:rsidRPr="002513B4">
        <w:rPr>
          <w:lang w:val="en-US"/>
        </w:rPr>
        <w:t xml:space="preserve">XML </w:t>
      </w:r>
      <w:r w:rsidRPr="002513B4">
        <w:rPr>
          <w:lang w:val="en-US"/>
        </w:rPr>
        <w:t xml:space="preserve">data files are </w:t>
      </w:r>
      <w:r w:rsidR="00284EAE" w:rsidRPr="002513B4">
        <w:rPr>
          <w:lang w:val="en-US"/>
        </w:rPr>
        <w:t xml:space="preserve">validated </w:t>
      </w:r>
      <w:r w:rsidRPr="002513B4">
        <w:rPr>
          <w:lang w:val="en-US"/>
        </w:rPr>
        <w:t>immediately upon submission for proper formatting, completeness, accuracy of record count, and out-of-range and missing values. In addition, the Coordination Team will run a series of edits on the data to check for such issues as outlier response rate patterns or unusual data elements.</w:t>
      </w:r>
    </w:p>
    <w:p w14:paraId="773E3447" w14:textId="77777777" w:rsidR="00EE74F9" w:rsidRPr="002513B4" w:rsidRDefault="00EE74F9" w:rsidP="00EE74F9">
      <w:pPr>
        <w:pStyle w:val="BodyText"/>
        <w:rPr>
          <w:lang w:val="en-US"/>
        </w:rPr>
      </w:pPr>
      <w:r w:rsidRPr="002513B4">
        <w:rPr>
          <w:lang w:val="en-US"/>
        </w:rPr>
        <w:t xml:space="preserve">The </w:t>
      </w:r>
      <w:r w:rsidR="005C58D8" w:rsidRPr="002513B4">
        <w:rPr>
          <w:lang w:val="en-US"/>
        </w:rPr>
        <w:t xml:space="preserve">HHCAHPS Survey </w:t>
      </w:r>
      <w:r w:rsidRPr="002513B4">
        <w:rPr>
          <w:lang w:val="en-US"/>
        </w:rPr>
        <w:t xml:space="preserve">Coordination Team will attempt to resolve data issues with the vendor </w:t>
      </w:r>
      <w:proofErr w:type="gramStart"/>
      <w:r w:rsidRPr="002513B4">
        <w:rPr>
          <w:lang w:val="en-US"/>
        </w:rPr>
        <w:t>through the use of</w:t>
      </w:r>
      <w:proofErr w:type="gramEnd"/>
      <w:r w:rsidRPr="002513B4">
        <w:rPr>
          <w:lang w:val="en-US"/>
        </w:rPr>
        <w:t xml:space="preserve"> conference calls or email exchanges. If the Coordination Team believes that there are any significant issues with a vendor’s data, or if repeated discussions and contact with a vendor fail to result in complete and accurate data submissions, a more thorough review of the vendor’s data processing and survey implementation activities may be initiated. At that time, the Coordination Team may request copies of documentation associated with whatever the data issue is—for example, if out-of-range values are found repeatedly, the Coordination Team may request copies of documents showing the training program used to train </w:t>
      </w:r>
      <w:r w:rsidR="005C58D8" w:rsidRPr="002513B4">
        <w:rPr>
          <w:lang w:val="en-US"/>
        </w:rPr>
        <w:t>d</w:t>
      </w:r>
      <w:r w:rsidRPr="002513B4">
        <w:rPr>
          <w:lang w:val="en-US"/>
        </w:rPr>
        <w:t xml:space="preserve">ata </w:t>
      </w:r>
      <w:r w:rsidR="005C58D8" w:rsidRPr="002513B4">
        <w:rPr>
          <w:lang w:val="en-US"/>
        </w:rPr>
        <w:t>e</w:t>
      </w:r>
      <w:r w:rsidRPr="002513B4">
        <w:rPr>
          <w:lang w:val="en-US"/>
        </w:rPr>
        <w:t xml:space="preserve">ntry staff, training records, and documentation that recommended quality assurance practices associated with </w:t>
      </w:r>
      <w:r w:rsidR="005C58D8" w:rsidRPr="002513B4">
        <w:rPr>
          <w:lang w:val="en-US"/>
        </w:rPr>
        <w:t xml:space="preserve">inputting </w:t>
      </w:r>
      <w:r w:rsidRPr="002513B4">
        <w:rPr>
          <w:lang w:val="en-US"/>
        </w:rPr>
        <w:t>data were followed. Vendors are expected to comply with all such requests for documentation.</w:t>
      </w:r>
    </w:p>
    <w:p w14:paraId="2868909D" w14:textId="325A41E2" w:rsidR="00EE74F9" w:rsidRPr="002513B4" w:rsidRDefault="00407A1E" w:rsidP="00EE74F9">
      <w:pPr>
        <w:pStyle w:val="Heading3"/>
        <w:rPr>
          <w:lang w:val="en-US"/>
        </w:rPr>
      </w:pPr>
      <w:bookmarkStart w:id="416" w:name="_Toc224984465"/>
      <w:bookmarkStart w:id="417" w:name="_Toc251318194"/>
      <w:bookmarkStart w:id="418" w:name="_Toc407633122"/>
      <w:bookmarkStart w:id="419" w:name="_Toc24713400"/>
      <w:bookmarkStart w:id="420" w:name="_Toc217305630"/>
      <w:r w:rsidRPr="002513B4">
        <w:rPr>
          <w:lang w:val="en-US"/>
        </w:rPr>
        <w:lastRenderedPageBreak/>
        <w:t>12.4</w:t>
      </w:r>
      <w:r w:rsidRPr="002513B4">
        <w:rPr>
          <w:lang w:val="en-US"/>
        </w:rPr>
        <w:tab/>
      </w:r>
      <w:r w:rsidR="00EE74F9" w:rsidRPr="002513B4">
        <w:rPr>
          <w:lang w:val="en-US"/>
        </w:rPr>
        <w:t>Communication Between Survey Vendors and the Coordination Team</w:t>
      </w:r>
      <w:bookmarkEnd w:id="416"/>
      <w:bookmarkEnd w:id="417"/>
      <w:bookmarkEnd w:id="418"/>
      <w:bookmarkEnd w:id="419"/>
      <w:bookmarkEnd w:id="420"/>
    </w:p>
    <w:p w14:paraId="4E80A496" w14:textId="49C58851" w:rsidR="00EE74F9" w:rsidRPr="002513B4" w:rsidRDefault="00EE74F9" w:rsidP="00EE74F9">
      <w:pPr>
        <w:pStyle w:val="BodyText"/>
        <w:rPr>
          <w:lang w:val="en-US"/>
        </w:rPr>
      </w:pPr>
      <w:r w:rsidRPr="002513B4">
        <w:rPr>
          <w:lang w:val="en-US"/>
        </w:rPr>
        <w:t>The HHCAHPS Survey Coordination Team welcomes communication from vendors related to the HHCAHPS Survey implementation process. Vendors can also request teleconference calls to ensure their successful implementation of the HHCAHPS Survey. For phone and email communications relevant to specific HHAs, vendors must provide the HHA name and CCN.</w:t>
      </w:r>
    </w:p>
    <w:p w14:paraId="3836E842" w14:textId="77777777" w:rsidR="00EE74F9" w:rsidRPr="002513B4" w:rsidRDefault="00EE74F9" w:rsidP="00EE74F9">
      <w:pPr>
        <w:pStyle w:val="BodyText"/>
        <w:rPr>
          <w:lang w:val="en-US"/>
        </w:rPr>
      </w:pPr>
      <w:r w:rsidRPr="002513B4">
        <w:rPr>
          <w:lang w:val="en-US"/>
        </w:rPr>
        <w:t xml:space="preserve">The </w:t>
      </w:r>
      <w:r w:rsidR="005C58D8" w:rsidRPr="002513B4">
        <w:rPr>
          <w:lang w:val="en-US"/>
        </w:rPr>
        <w:t xml:space="preserve">HHCAHPS Survey </w:t>
      </w:r>
      <w:r w:rsidRPr="002513B4">
        <w:rPr>
          <w:lang w:val="en-US"/>
        </w:rPr>
        <w:t>Coordination Team also schedules conference calls with selected vendors to review vendor procedures and ensure adherence to the HHCAHPS Survey protocols and guidelines. The Coordination Team makes periodic calls to selected vendors to assess the status of sampling, data collection, and file processing issues in general. These calls are scheduled in advance so that appropriate members of the vendor’s project team can participate.</w:t>
      </w:r>
    </w:p>
    <w:p w14:paraId="0603BF8B" w14:textId="4CFC945C" w:rsidR="000B20C3" w:rsidRPr="002513B4" w:rsidRDefault="000B20C3" w:rsidP="00EE74F9">
      <w:pPr>
        <w:pStyle w:val="BodyText"/>
        <w:rPr>
          <w:lang w:val="en-US"/>
        </w:rPr>
      </w:pPr>
      <w:r w:rsidRPr="002513B4">
        <w:rPr>
          <w:lang w:val="en-US"/>
        </w:rPr>
        <w:t>Survey vendors are required to be responsive to and meet all deadlines set by CMS and the HHCAHPS Survey Coordination Team. Late submissions (for any vendor oversight activity) have negative downstream effects, and repeated late submissions may result in a Corrective Action Plan (CAP). If a survey vendor needs more time to meet a deadline, they may ask for an accommodation via email prior to the deadline.</w:t>
      </w:r>
    </w:p>
    <w:p w14:paraId="2D78F6AE" w14:textId="00CB7158" w:rsidR="00EE74F9" w:rsidRPr="002513B4" w:rsidRDefault="00407A1E" w:rsidP="00EE74F9">
      <w:pPr>
        <w:pStyle w:val="Heading3"/>
        <w:rPr>
          <w:lang w:val="en-US"/>
        </w:rPr>
      </w:pPr>
      <w:bookmarkStart w:id="421" w:name="_Toc224984466"/>
      <w:bookmarkStart w:id="422" w:name="_Toc251318195"/>
      <w:bookmarkStart w:id="423" w:name="_Toc407633123"/>
      <w:bookmarkStart w:id="424" w:name="_Toc24713401"/>
      <w:bookmarkStart w:id="425" w:name="_Toc217305631"/>
      <w:r w:rsidRPr="002513B4">
        <w:rPr>
          <w:lang w:val="en-US"/>
        </w:rPr>
        <w:t>12.5</w:t>
      </w:r>
      <w:r w:rsidRPr="002513B4">
        <w:rPr>
          <w:lang w:val="en-US"/>
        </w:rPr>
        <w:tab/>
      </w:r>
      <w:r w:rsidR="00EE74F9" w:rsidRPr="002513B4">
        <w:rPr>
          <w:lang w:val="en-US"/>
        </w:rPr>
        <w:t>Site Visits to Survey Vendors</w:t>
      </w:r>
      <w:bookmarkEnd w:id="421"/>
      <w:bookmarkEnd w:id="422"/>
      <w:bookmarkEnd w:id="423"/>
      <w:bookmarkEnd w:id="424"/>
      <w:bookmarkEnd w:id="425"/>
    </w:p>
    <w:p w14:paraId="149C4EB9" w14:textId="3FE363F9" w:rsidR="00EE74F9" w:rsidRPr="002513B4" w:rsidRDefault="00EE74F9" w:rsidP="00EE74F9">
      <w:pPr>
        <w:pStyle w:val="BodyText"/>
        <w:rPr>
          <w:lang w:val="en-US"/>
        </w:rPr>
      </w:pPr>
      <w:r w:rsidRPr="002513B4">
        <w:rPr>
          <w:lang w:val="en-US"/>
        </w:rPr>
        <w:t>The HHCAHPS Survey Coordination Team conducts site visits to approved vendors. The purpose of the site visits is to allow the Coordination Team to observe HHCAHPS Survey implementation process</w:t>
      </w:r>
      <w:r w:rsidR="00284EAE" w:rsidRPr="002513B4">
        <w:rPr>
          <w:lang w:val="en-US"/>
        </w:rPr>
        <w:t>es (e.g.</w:t>
      </w:r>
      <w:r w:rsidRPr="002513B4">
        <w:rPr>
          <w:lang w:val="en-US"/>
        </w:rPr>
        <w:t>, sampling</w:t>
      </w:r>
      <w:r w:rsidR="00284EAE" w:rsidRPr="002513B4">
        <w:rPr>
          <w:lang w:val="en-US"/>
        </w:rPr>
        <w:t>, data collection,</w:t>
      </w:r>
      <w:r w:rsidRPr="002513B4">
        <w:rPr>
          <w:lang w:val="en-US"/>
        </w:rPr>
        <w:t xml:space="preserve"> file preparation and submission</w:t>
      </w:r>
      <w:r w:rsidR="00284EAE" w:rsidRPr="002513B4">
        <w:rPr>
          <w:lang w:val="en-US"/>
        </w:rPr>
        <w:t>, etc.)</w:t>
      </w:r>
      <w:r w:rsidRPr="002513B4">
        <w:rPr>
          <w:lang w:val="en-US"/>
        </w:rPr>
        <w:t>.</w:t>
      </w:r>
      <w:r w:rsidR="00284EAE" w:rsidRPr="002513B4">
        <w:rPr>
          <w:lang w:val="en-US"/>
        </w:rPr>
        <w:t xml:space="preserve"> Topics covered during a site visit will be tailored to each vendor. </w:t>
      </w:r>
    </w:p>
    <w:p w14:paraId="4B84DD0F" w14:textId="0484C48E" w:rsidR="00EE74F9" w:rsidRPr="002513B4" w:rsidRDefault="00EE74F9" w:rsidP="00EE74F9">
      <w:pPr>
        <w:pStyle w:val="BodyText"/>
        <w:keepNext/>
        <w:rPr>
          <w:lang w:val="en-US"/>
        </w:rPr>
      </w:pPr>
      <w:r w:rsidRPr="002513B4">
        <w:rPr>
          <w:lang w:val="en-US"/>
        </w:rPr>
        <w:t xml:space="preserve">The </w:t>
      </w:r>
      <w:r w:rsidR="005C58D8" w:rsidRPr="002513B4">
        <w:rPr>
          <w:lang w:val="en-US"/>
        </w:rPr>
        <w:t xml:space="preserve">HHCAHPS Survey </w:t>
      </w:r>
      <w:r w:rsidRPr="002513B4">
        <w:rPr>
          <w:lang w:val="en-US"/>
        </w:rPr>
        <w:t>Coordination Team expects at a minimum to accomplish the following on each site visit:</w:t>
      </w:r>
    </w:p>
    <w:tbl>
      <w:tblPr>
        <w:tblStyle w:val="TableGrid"/>
        <w:tblpPr w:leftFromText="72" w:rightFromText="72" w:vertAnchor="text" w:horzAnchor="margin" w:tblpXSpec="right" w:tblpY="1"/>
        <w:tblOverlap w:val="never"/>
        <w:tblW w:w="2851" w:type="dxa"/>
        <w:tblLook w:val="04A0" w:firstRow="1" w:lastRow="0" w:firstColumn="1" w:lastColumn="0" w:noHBand="0" w:noVBand="1"/>
      </w:tblPr>
      <w:tblGrid>
        <w:gridCol w:w="2851"/>
      </w:tblGrid>
      <w:tr w:rsidR="00362E08" w:rsidRPr="002513B4" w14:paraId="4D7B28B9" w14:textId="77777777" w:rsidTr="00362E08">
        <w:trPr>
          <w:cantSplit/>
          <w:tblHeader/>
        </w:trPr>
        <w:tc>
          <w:tcPr>
            <w:tcW w:w="2851" w:type="dxa"/>
            <w:shd w:val="clear" w:color="auto" w:fill="F79646"/>
          </w:tcPr>
          <w:p w14:paraId="3736D44C" w14:textId="77DFC157" w:rsidR="00362E08" w:rsidRPr="002513B4" w:rsidRDefault="00362E08" w:rsidP="00362E08">
            <w:r w:rsidRPr="002513B4">
              <w:rPr>
                <w:b/>
                <w:bCs/>
              </w:rPr>
              <w:t>NOTE:</w:t>
            </w:r>
            <w:r w:rsidRPr="002513B4">
              <w:t xml:space="preserve"> Site Visits in 2026 will focus on each vendor’s preparation activities for administering the revised HHCAHPS Survey. As such, the HHCAHPS Survey Coordination team will provide a site visit agenda that reflects this more focused purpose. </w:t>
            </w:r>
          </w:p>
        </w:tc>
      </w:tr>
    </w:tbl>
    <w:p w14:paraId="432157B9" w14:textId="1DD462D2" w:rsidR="00EE74F9" w:rsidRPr="002513B4" w:rsidRDefault="00EE74F9" w:rsidP="00EE74F9">
      <w:pPr>
        <w:pStyle w:val="ListBullet"/>
      </w:pPr>
      <w:r w:rsidRPr="002513B4">
        <w:t xml:space="preserve">Interviews with the vendor’s key HHCAHPS Survey project staff, including the </w:t>
      </w:r>
      <w:r w:rsidR="00E73711" w:rsidRPr="002513B4">
        <w:t>Survey Administrator/</w:t>
      </w:r>
      <w:r w:rsidR="005C58D8" w:rsidRPr="002513B4">
        <w:t>P</w:t>
      </w:r>
      <w:r w:rsidRPr="002513B4">
        <w:t xml:space="preserve">roject </w:t>
      </w:r>
      <w:r w:rsidR="005C58D8" w:rsidRPr="002513B4">
        <w:t>M</w:t>
      </w:r>
      <w:r w:rsidRPr="002513B4">
        <w:t xml:space="preserve">anager, </w:t>
      </w:r>
      <w:r w:rsidR="005C58D8" w:rsidRPr="002513B4">
        <w:t>S</w:t>
      </w:r>
      <w:r w:rsidRPr="002513B4">
        <w:t xml:space="preserve">ampling </w:t>
      </w:r>
      <w:r w:rsidR="005C58D8" w:rsidRPr="002513B4">
        <w:t>M</w:t>
      </w:r>
      <w:r w:rsidRPr="002513B4">
        <w:t>anager, and</w:t>
      </w:r>
      <w:r w:rsidR="00284EAE" w:rsidRPr="002513B4">
        <w:t>/or</w:t>
      </w:r>
      <w:r w:rsidRPr="002513B4">
        <w:t xml:space="preserve"> </w:t>
      </w:r>
      <w:r w:rsidR="005C58D8" w:rsidRPr="002513B4">
        <w:t>Computer Programmer</w:t>
      </w:r>
      <w:r w:rsidRPr="002513B4">
        <w:t>.</w:t>
      </w:r>
    </w:p>
    <w:p w14:paraId="712F34C9" w14:textId="77777777" w:rsidR="00EE74F9" w:rsidRPr="002513B4" w:rsidRDefault="00EE74F9" w:rsidP="00955E78">
      <w:pPr>
        <w:pStyle w:val="ListBullet"/>
        <w:keepNext/>
        <w:spacing w:after="120"/>
      </w:pPr>
      <w:r w:rsidRPr="002513B4">
        <w:t xml:space="preserve">A “walk through” of the systems and processes used from the point of obtaining </w:t>
      </w:r>
      <w:r w:rsidR="005C58D8" w:rsidRPr="002513B4">
        <w:t>a monthly patient information file</w:t>
      </w:r>
      <w:r w:rsidRPr="002513B4">
        <w:t xml:space="preserve"> from an HHA to preparation of a final data file, including but not limited to a review of:</w:t>
      </w:r>
    </w:p>
    <w:p w14:paraId="3B090864" w14:textId="4E57853C" w:rsidR="00EE74F9" w:rsidRPr="002513B4" w:rsidRDefault="001D4E92" w:rsidP="00A62DD9">
      <w:pPr>
        <w:pStyle w:val="ListBullet2"/>
      </w:pPr>
      <w:r w:rsidRPr="002513B4">
        <w:t>Software</w:t>
      </w:r>
      <w:r w:rsidR="00EE74F9" w:rsidRPr="002513B4">
        <w:t xml:space="preserve">/programs used to select and store the sample; how patient contact information (name and address) and SID number are printed on letters accompanying questionnaire mailings or provided to </w:t>
      </w:r>
      <w:r w:rsidR="00EE74F9" w:rsidRPr="002513B4">
        <w:lastRenderedPageBreak/>
        <w:t>a call center for telephone survey data collection; questionnaire production, mailout, and receipt facilities/processes; telephone survey operation facilities/processes, including listening to interviews;</w:t>
      </w:r>
    </w:p>
    <w:p w14:paraId="6493CA74" w14:textId="77777777" w:rsidR="00EE74F9" w:rsidRPr="002513B4" w:rsidRDefault="001D4E92" w:rsidP="00A62DD9">
      <w:pPr>
        <w:pStyle w:val="ListBullet2"/>
      </w:pPr>
      <w:r w:rsidRPr="002513B4">
        <w:t xml:space="preserve">All </w:t>
      </w:r>
      <w:r w:rsidR="00EE74F9" w:rsidRPr="002513B4">
        <w:t>data processing activities, including how final status codes are assigned; and</w:t>
      </w:r>
    </w:p>
    <w:p w14:paraId="14CAB416" w14:textId="77777777" w:rsidR="00EE74F9" w:rsidRPr="002513B4" w:rsidRDefault="001D4E92" w:rsidP="00955E78">
      <w:pPr>
        <w:pStyle w:val="ListBullet2"/>
        <w:spacing w:after="120"/>
      </w:pPr>
      <w:r w:rsidRPr="002513B4">
        <w:t xml:space="preserve">File </w:t>
      </w:r>
      <w:r w:rsidR="00EE74F9" w:rsidRPr="002513B4">
        <w:t>preparation and submission activities; and file storage facilities.</w:t>
      </w:r>
    </w:p>
    <w:p w14:paraId="3F6B71B4" w14:textId="77777777" w:rsidR="00EE74F9" w:rsidRPr="002513B4" w:rsidRDefault="00EE74F9" w:rsidP="00955E78">
      <w:pPr>
        <w:pStyle w:val="ListBullet"/>
        <w:keepNext/>
        <w:spacing w:after="120"/>
      </w:pPr>
      <w:r w:rsidRPr="002513B4">
        <w:t>A review of all documentation associated with any of the above steps. The documentation to be reviewed includes but is not limited to:</w:t>
      </w:r>
    </w:p>
    <w:p w14:paraId="17F5EBB2" w14:textId="77777777" w:rsidR="00EE74F9" w:rsidRPr="002513B4" w:rsidRDefault="001D4E92" w:rsidP="00A62DD9">
      <w:pPr>
        <w:pStyle w:val="ListBullet2"/>
      </w:pPr>
      <w:r w:rsidRPr="002513B4">
        <w:t xml:space="preserve">Signed </w:t>
      </w:r>
      <w:r w:rsidR="00EE74F9" w:rsidRPr="002513B4">
        <w:t>confidentiality forms for all applicable staff, including subcontractors;</w:t>
      </w:r>
    </w:p>
    <w:p w14:paraId="505FD551" w14:textId="77777777" w:rsidR="00EE74F9" w:rsidRPr="002513B4" w:rsidRDefault="001D4E92" w:rsidP="00A62DD9">
      <w:pPr>
        <w:pStyle w:val="ListBullet2"/>
      </w:pPr>
      <w:r w:rsidRPr="002513B4">
        <w:t xml:space="preserve">Training </w:t>
      </w:r>
      <w:r w:rsidR="00EE74F9" w:rsidRPr="002513B4">
        <w:t>records, such as for data entry or telephone interviewing staff;</w:t>
      </w:r>
    </w:p>
    <w:p w14:paraId="07877379" w14:textId="77777777" w:rsidR="00EE74F9" w:rsidRPr="002513B4" w:rsidRDefault="001D4E92" w:rsidP="00A62DD9">
      <w:pPr>
        <w:pStyle w:val="ListBullet2"/>
      </w:pPr>
      <w:r w:rsidRPr="002513B4">
        <w:t xml:space="preserve">Monitoring </w:t>
      </w:r>
      <w:r w:rsidR="00EE74F9" w:rsidRPr="002513B4">
        <w:t>logs, with dates and times telephone interviewers were monitored, and the results of those monitoring sessions;</w:t>
      </w:r>
    </w:p>
    <w:p w14:paraId="7265A3C6" w14:textId="77777777" w:rsidR="00EE74F9" w:rsidRPr="002513B4" w:rsidRDefault="001D4E92" w:rsidP="00A62DD9">
      <w:pPr>
        <w:pStyle w:val="ListBullet2"/>
      </w:pPr>
      <w:r w:rsidRPr="002513B4">
        <w:t xml:space="preserve">Telephone </w:t>
      </w:r>
      <w:r w:rsidR="00EE74F9" w:rsidRPr="002513B4">
        <w:t>interview scripts, including introductory scripts and responses to frequently asked questions;</w:t>
      </w:r>
    </w:p>
    <w:p w14:paraId="4048D353" w14:textId="77777777" w:rsidR="00EE74F9" w:rsidRPr="002513B4" w:rsidRDefault="001D4E92" w:rsidP="00A62DD9">
      <w:pPr>
        <w:pStyle w:val="ListBullet2"/>
      </w:pPr>
      <w:r w:rsidRPr="002513B4">
        <w:t xml:space="preserve">Verification </w:t>
      </w:r>
      <w:r w:rsidR="00EE74F9" w:rsidRPr="002513B4">
        <w:t>records, for either data entry or scanning processes, showing the level of quality control for keyed questionnaires; and</w:t>
      </w:r>
    </w:p>
    <w:p w14:paraId="44DFDC50" w14:textId="77777777" w:rsidR="00EE74F9" w:rsidRPr="002513B4" w:rsidRDefault="001D4E92" w:rsidP="00A62DD9">
      <w:pPr>
        <w:pStyle w:val="ListBullet2"/>
      </w:pPr>
      <w:r w:rsidRPr="002513B4">
        <w:t xml:space="preserve">Quality </w:t>
      </w:r>
      <w:r w:rsidR="00EE74F9" w:rsidRPr="002513B4">
        <w:t>control processes documentation for all survey activities.</w:t>
      </w:r>
    </w:p>
    <w:p w14:paraId="5B13B5A3" w14:textId="14FC8029" w:rsidR="00EE74F9" w:rsidRPr="002513B4" w:rsidRDefault="00EE74F9" w:rsidP="00EE74F9">
      <w:pPr>
        <w:pStyle w:val="BodyText"/>
        <w:rPr>
          <w:lang w:val="en-US"/>
        </w:rPr>
      </w:pPr>
      <w:r w:rsidRPr="002513B4">
        <w:rPr>
          <w:lang w:val="en-US"/>
        </w:rPr>
        <w:t xml:space="preserve">The Coordination Team may make either scheduled or unscheduled visits </w:t>
      </w:r>
      <w:r w:rsidR="00284EAE" w:rsidRPr="002513B4">
        <w:rPr>
          <w:lang w:val="en-US"/>
        </w:rPr>
        <w:t xml:space="preserve">with </w:t>
      </w:r>
      <w:r w:rsidRPr="002513B4">
        <w:rPr>
          <w:lang w:val="en-US"/>
        </w:rPr>
        <w:t xml:space="preserve">the vendor. Scheduled visits will be planned far enough in advance to ensure that all appropriate vendor staff are able to participate. For unscheduled visits, the Coordination Team will give the vendor a 3-day window during which the team may conduct the site </w:t>
      </w:r>
      <w:r w:rsidR="00284EAE" w:rsidRPr="002513B4">
        <w:rPr>
          <w:lang w:val="en-US"/>
        </w:rPr>
        <w:t>visit</w:t>
      </w:r>
      <w:r w:rsidRPr="002513B4">
        <w:rPr>
          <w:lang w:val="en-US"/>
        </w:rPr>
        <w:t>.</w:t>
      </w:r>
    </w:p>
    <w:p w14:paraId="1E2C207C" w14:textId="7C91F5E3" w:rsidR="00EE74F9" w:rsidRPr="002513B4" w:rsidRDefault="00EE74F9" w:rsidP="00EE74F9">
      <w:pPr>
        <w:pStyle w:val="BodyText"/>
        <w:rPr>
          <w:lang w:val="en-US"/>
        </w:rPr>
      </w:pPr>
      <w:r w:rsidRPr="002513B4">
        <w:rPr>
          <w:lang w:val="en-US"/>
        </w:rPr>
        <w:t xml:space="preserve">Generally, the site visit team will consist of two to three individuals, although the size of the team may vary and may include representatives from CMS. All discussions, observations, and materials reviewed during the site visit will remain confidential, as documented in the </w:t>
      </w:r>
      <w:r w:rsidR="002F5602" w:rsidRPr="002513B4">
        <w:rPr>
          <w:lang w:val="en-US"/>
        </w:rPr>
        <w:t>d</w:t>
      </w:r>
      <w:r w:rsidRPr="002513B4">
        <w:rPr>
          <w:lang w:val="en-US"/>
        </w:rPr>
        <w:t xml:space="preserve">ata </w:t>
      </w:r>
      <w:r w:rsidR="002F5602" w:rsidRPr="002513B4">
        <w:rPr>
          <w:lang w:val="en-US"/>
        </w:rPr>
        <w:t>u</w:t>
      </w:r>
      <w:r w:rsidRPr="002513B4">
        <w:rPr>
          <w:lang w:val="en-US"/>
        </w:rPr>
        <w:t xml:space="preserve">ser </w:t>
      </w:r>
      <w:r w:rsidR="002F5602" w:rsidRPr="002513B4">
        <w:rPr>
          <w:lang w:val="en-US"/>
        </w:rPr>
        <w:t>a</w:t>
      </w:r>
      <w:r w:rsidRPr="002513B4">
        <w:rPr>
          <w:lang w:val="en-US"/>
        </w:rPr>
        <w:t>greement</w:t>
      </w:r>
      <w:r w:rsidR="002F5602" w:rsidRPr="002513B4">
        <w:rPr>
          <w:lang w:val="en-US"/>
        </w:rPr>
        <w:t xml:space="preserve"> (DUA)</w:t>
      </w:r>
      <w:r w:rsidRPr="002513B4">
        <w:rPr>
          <w:lang w:val="en-US"/>
        </w:rPr>
        <w:t xml:space="preserve"> completed in advance of the site visit. Thus, although the Coordination Team appreciates that certain systems or processes may be proprietary to a vendor, full cooperation with the site visit team is expected so that the team may adequately assess vendor compliance with all HHCAHPS Survey protocols and guidelines.</w:t>
      </w:r>
    </w:p>
    <w:p w14:paraId="1DE6E89A" w14:textId="21EC1FA4" w:rsidR="00EE74F9" w:rsidRPr="002513B4" w:rsidRDefault="00EE74F9" w:rsidP="00EE74F9">
      <w:pPr>
        <w:pStyle w:val="BodyText"/>
        <w:rPr>
          <w:lang w:val="en-US"/>
        </w:rPr>
      </w:pPr>
      <w:r w:rsidRPr="002513B4">
        <w:rPr>
          <w:lang w:val="en-US"/>
        </w:rPr>
        <w:t xml:space="preserve">After each site visit, the Coordination Team will prepare and submit to CMS a </w:t>
      </w:r>
      <w:r w:rsidRPr="002513B4">
        <w:rPr>
          <w:i/>
          <w:lang w:val="en-US"/>
        </w:rPr>
        <w:t>Site Visit Report</w:t>
      </w:r>
      <w:r w:rsidRPr="002513B4">
        <w:rPr>
          <w:lang w:val="en-US"/>
        </w:rPr>
        <w:t>, which will summarize the findings from each site visit, including any issues</w:t>
      </w:r>
      <w:r w:rsidR="00791CDC" w:rsidRPr="002513B4">
        <w:rPr>
          <w:lang w:val="en-US"/>
        </w:rPr>
        <w:t xml:space="preserve"> observed</w:t>
      </w:r>
      <w:r w:rsidRPr="002513B4">
        <w:rPr>
          <w:lang w:val="en-US"/>
        </w:rPr>
        <w:t xml:space="preserve">. The </w:t>
      </w:r>
      <w:r w:rsidRPr="002513B4">
        <w:rPr>
          <w:i/>
          <w:lang w:val="en-US"/>
        </w:rPr>
        <w:t>Site Visit Report</w:t>
      </w:r>
      <w:r w:rsidRPr="002513B4">
        <w:rPr>
          <w:lang w:val="en-US"/>
        </w:rPr>
        <w:t xml:space="preserve"> will </w:t>
      </w:r>
      <w:r w:rsidR="00910021" w:rsidRPr="002513B4">
        <w:rPr>
          <w:lang w:val="en-US"/>
        </w:rPr>
        <w:t>include</w:t>
      </w:r>
      <w:r w:rsidRPr="002513B4">
        <w:rPr>
          <w:lang w:val="en-US"/>
        </w:rPr>
        <w:t xml:space="preserve"> corrective actions that the vendor will be required to take to correct any deficiencies or problems noted. The Coordination Team will provide the vendor with the </w:t>
      </w:r>
      <w:r w:rsidRPr="002513B4">
        <w:rPr>
          <w:i/>
          <w:lang w:val="en-US"/>
        </w:rPr>
        <w:t>Site Visit Report</w:t>
      </w:r>
      <w:r w:rsidRPr="002513B4">
        <w:rPr>
          <w:lang w:val="en-US"/>
        </w:rPr>
        <w:t xml:space="preserve"> after it has been reviewed </w:t>
      </w:r>
      <w:r w:rsidR="00791CDC" w:rsidRPr="002513B4">
        <w:rPr>
          <w:lang w:val="en-US"/>
        </w:rPr>
        <w:t xml:space="preserve">by </w:t>
      </w:r>
      <w:r w:rsidRPr="002513B4">
        <w:rPr>
          <w:lang w:val="en-US"/>
        </w:rPr>
        <w:t xml:space="preserve">CMS. The Coordination Team may request clarification, additional documentation, or changes to any aspect of the implementation process, if needed. The vendor will then be given a specified </w:t>
      </w:r>
      <w:proofErr w:type="gramStart"/>
      <w:r w:rsidRPr="002513B4">
        <w:rPr>
          <w:lang w:val="en-US"/>
        </w:rPr>
        <w:t>period of time</w:t>
      </w:r>
      <w:proofErr w:type="gramEnd"/>
      <w:r w:rsidRPr="002513B4">
        <w:rPr>
          <w:lang w:val="en-US"/>
        </w:rPr>
        <w:t xml:space="preserve"> in which to provide the additional information or submit documentation showing that it has implemented the requested process or system change. The Coordination </w:t>
      </w:r>
      <w:r w:rsidRPr="002513B4">
        <w:rPr>
          <w:lang w:val="en-US"/>
        </w:rPr>
        <w:lastRenderedPageBreak/>
        <w:t>Team will follow up with the vendor by teleconference or with additional site visits as needed.</w:t>
      </w:r>
    </w:p>
    <w:p w14:paraId="3E760E39" w14:textId="6DD0017A" w:rsidR="00EE74F9" w:rsidRPr="002513B4" w:rsidRDefault="00407A1E" w:rsidP="00EE74F9">
      <w:pPr>
        <w:pStyle w:val="Heading3"/>
        <w:rPr>
          <w:lang w:val="en-US"/>
        </w:rPr>
      </w:pPr>
      <w:bookmarkStart w:id="426" w:name="_Toc224984467"/>
      <w:bookmarkStart w:id="427" w:name="_Toc251318196"/>
      <w:bookmarkStart w:id="428" w:name="_Toc407633124"/>
      <w:bookmarkStart w:id="429" w:name="_Toc24713402"/>
      <w:bookmarkStart w:id="430" w:name="_Toc217305632"/>
      <w:r w:rsidRPr="002513B4">
        <w:rPr>
          <w:lang w:val="en-US"/>
        </w:rPr>
        <w:t>12.6</w:t>
      </w:r>
      <w:r w:rsidRPr="002513B4">
        <w:rPr>
          <w:lang w:val="en-US"/>
        </w:rPr>
        <w:tab/>
      </w:r>
      <w:r w:rsidR="00EE74F9" w:rsidRPr="002513B4">
        <w:rPr>
          <w:lang w:val="en-US"/>
        </w:rPr>
        <w:t>Corrective Action Plans</w:t>
      </w:r>
      <w:bookmarkEnd w:id="426"/>
      <w:bookmarkEnd w:id="427"/>
      <w:bookmarkEnd w:id="428"/>
      <w:bookmarkEnd w:id="429"/>
      <w:bookmarkEnd w:id="430"/>
    </w:p>
    <w:p w14:paraId="520C75FA" w14:textId="2FC49E1D" w:rsidR="00EE74F9" w:rsidRPr="002513B4" w:rsidRDefault="00EE74F9" w:rsidP="00EE74F9">
      <w:pPr>
        <w:pStyle w:val="BodyText"/>
        <w:rPr>
          <w:lang w:val="en-US"/>
        </w:rPr>
      </w:pPr>
      <w:r w:rsidRPr="002513B4">
        <w:rPr>
          <w:lang w:val="en-US"/>
        </w:rPr>
        <w:t>If a vendor fails to demonstrate adherence to the HHCAHPS Survey protocols and guidelines, as evidenced by ongoing problems with its submitted data or as observed in its implementation process during a site visit, CMS may ask the Coordination Team to either increase oversight of the vendor’s activities (</w:t>
      </w:r>
      <w:r w:rsidR="00910021" w:rsidRPr="002513B4">
        <w:rPr>
          <w:lang w:val="en-US"/>
        </w:rPr>
        <w:t>e</w:t>
      </w:r>
      <w:r w:rsidR="00C456B9" w:rsidRPr="002513B4">
        <w:rPr>
          <w:lang w:val="en-US"/>
        </w:rPr>
        <w:t>.</w:t>
      </w:r>
      <w:r w:rsidR="00910021" w:rsidRPr="002513B4">
        <w:rPr>
          <w:lang w:val="en-US"/>
        </w:rPr>
        <w:t>g</w:t>
      </w:r>
      <w:r w:rsidR="00C456B9" w:rsidRPr="002513B4">
        <w:rPr>
          <w:lang w:val="en-US"/>
        </w:rPr>
        <w:t>.</w:t>
      </w:r>
      <w:r w:rsidR="00910021" w:rsidRPr="002513B4">
        <w:rPr>
          <w:lang w:val="en-US"/>
        </w:rPr>
        <w:t>, review of</w:t>
      </w:r>
      <w:r w:rsidRPr="002513B4">
        <w:rPr>
          <w:lang w:val="en-US"/>
        </w:rPr>
        <w:t xml:space="preserve"> submitted </w:t>
      </w:r>
      <w:r w:rsidR="00910021" w:rsidRPr="002513B4">
        <w:rPr>
          <w:lang w:val="en-US"/>
        </w:rPr>
        <w:t xml:space="preserve">XML </w:t>
      </w:r>
      <w:r w:rsidRPr="002513B4">
        <w:rPr>
          <w:lang w:val="en-US"/>
        </w:rPr>
        <w:t>data files</w:t>
      </w:r>
      <w:r w:rsidR="00910021" w:rsidRPr="002513B4">
        <w:rPr>
          <w:lang w:val="en-US"/>
        </w:rPr>
        <w:t xml:space="preserve"> and recorded telephone interviews</w:t>
      </w:r>
      <w:r w:rsidR="009C3E71" w:rsidRPr="002513B4">
        <w:rPr>
          <w:lang w:val="en-US"/>
        </w:rPr>
        <w:t>, conduct live monitoring of interviewers</w:t>
      </w:r>
      <w:r w:rsidRPr="002513B4">
        <w:rPr>
          <w:lang w:val="en-US"/>
        </w:rPr>
        <w:t xml:space="preserve">) or, if necessary, put the vendor on a </w:t>
      </w:r>
      <w:r w:rsidR="000B20C3" w:rsidRPr="002513B4">
        <w:rPr>
          <w:lang w:val="en-US"/>
        </w:rPr>
        <w:t>CAP</w:t>
      </w:r>
      <w:r w:rsidRPr="002513B4">
        <w:rPr>
          <w:lang w:val="en-US"/>
        </w:rPr>
        <w:t>.</w:t>
      </w:r>
    </w:p>
    <w:p w14:paraId="4316C66C" w14:textId="0BD06C92" w:rsidR="00EE74F9" w:rsidRPr="002513B4" w:rsidRDefault="00EE74F9" w:rsidP="00EE74F9">
      <w:pPr>
        <w:pStyle w:val="BodyText"/>
        <w:rPr>
          <w:lang w:val="en-US"/>
        </w:rPr>
      </w:pPr>
      <w:r w:rsidRPr="002513B4">
        <w:rPr>
          <w:lang w:val="en-US"/>
        </w:rPr>
        <w:t xml:space="preserve">If the vendor is placed on a </w:t>
      </w:r>
      <w:r w:rsidR="000B20C3" w:rsidRPr="002513B4">
        <w:rPr>
          <w:lang w:val="en-US"/>
        </w:rPr>
        <w:t>CAP</w:t>
      </w:r>
      <w:r w:rsidRPr="002513B4">
        <w:rPr>
          <w:lang w:val="en-US"/>
        </w:rPr>
        <w:t xml:space="preserve">, the Coordination Team will work out a schedule with CMS by which the vendor must comply with the tasks set forth in the </w:t>
      </w:r>
      <w:r w:rsidR="000B20C3" w:rsidRPr="002513B4">
        <w:rPr>
          <w:lang w:val="en-US"/>
        </w:rPr>
        <w:t>CAP</w:t>
      </w:r>
      <w:r w:rsidRPr="002513B4">
        <w:rPr>
          <w:lang w:val="en-US"/>
        </w:rPr>
        <w:t>. These will include interim monitoring dates, where the Coordination Team and the vendor will meet via teleconference to discuss the status of the plan and what changes the vendor has made or is in the process of making. The nature of the requested changes that the vendor is asked to implement will dictate the kind of deliverables the vendor will be expected to provide and the dates by which the deliverables must be provided.</w:t>
      </w:r>
    </w:p>
    <w:p w14:paraId="570488DE" w14:textId="77777777" w:rsidR="00467D0F" w:rsidRDefault="00EE74F9" w:rsidP="00EE74F9">
      <w:pPr>
        <w:pStyle w:val="BodyText"/>
        <w:rPr>
          <w:lang w:val="en-US"/>
        </w:rPr>
      </w:pPr>
      <w:r w:rsidRPr="002513B4">
        <w:rPr>
          <w:lang w:val="en-US"/>
        </w:rPr>
        <w:t xml:space="preserve">Survey vendors that fail to comply with the </w:t>
      </w:r>
      <w:r w:rsidR="00913488" w:rsidRPr="002513B4">
        <w:rPr>
          <w:lang w:val="en-US"/>
        </w:rPr>
        <w:t xml:space="preserve">corrective </w:t>
      </w:r>
      <w:r w:rsidRPr="002513B4">
        <w:rPr>
          <w:lang w:val="en-US"/>
        </w:rPr>
        <w:t xml:space="preserve">oversight activities described above or whose implementation of the HHCAHPS Survey is found to be unsatisfactory after the opportunity is given to correct deficiencies may be subject to having their approved status rescinded. Further, any HHA survey responses collected by the vendor may be withheld from public reporting. The affected HHA(s) will be notified by the HHCAHPS Survey Coordination Team of their vendor’s failure to comply with oversight activities or unsatisfactory implementation so that the HHA(s) </w:t>
      </w:r>
      <w:r w:rsidR="001B4665" w:rsidRPr="002513B4">
        <w:rPr>
          <w:lang w:val="en-US"/>
        </w:rPr>
        <w:t>can</w:t>
      </w:r>
      <w:r w:rsidRPr="002513B4">
        <w:rPr>
          <w:lang w:val="en-US"/>
        </w:rPr>
        <w:t xml:space="preserve"> contract with another approved vendor</w:t>
      </w:r>
      <w:r w:rsidR="001B4665" w:rsidRPr="002513B4">
        <w:rPr>
          <w:lang w:val="en-US"/>
        </w:rPr>
        <w:t xml:space="preserve"> going forward</w:t>
      </w:r>
      <w:r w:rsidRPr="002513B4">
        <w:rPr>
          <w:lang w:val="en-US"/>
        </w:rPr>
        <w:t>.</w:t>
      </w:r>
    </w:p>
    <w:p w14:paraId="48470248" w14:textId="77777777" w:rsidR="00532171" w:rsidRDefault="00532171" w:rsidP="00EE74F9">
      <w:pPr>
        <w:pStyle w:val="BodyText"/>
        <w:rPr>
          <w:lang w:val="en-US"/>
        </w:rPr>
        <w:sectPr w:rsidR="00532171" w:rsidSect="000342FA">
          <w:headerReference w:type="default" r:id="rId151"/>
          <w:type w:val="continuous"/>
          <w:pgSz w:w="12240" w:h="15840" w:code="1"/>
          <w:pgMar w:top="1440" w:right="1440" w:bottom="1440" w:left="1440" w:header="720" w:footer="720" w:gutter="0"/>
          <w:cols w:space="720"/>
          <w:titlePg/>
        </w:sectPr>
      </w:pPr>
    </w:p>
    <w:p w14:paraId="396CB63D" w14:textId="47D8845E" w:rsidR="00EE74F9" w:rsidRPr="002513B4" w:rsidRDefault="00AF6BE4" w:rsidP="00EE74F9">
      <w:pPr>
        <w:pStyle w:val="Heading2"/>
        <w:rPr>
          <w:lang w:val="en-US"/>
        </w:rPr>
      </w:pPr>
      <w:bookmarkStart w:id="431" w:name="_Toc224984468"/>
      <w:bookmarkStart w:id="432" w:name="_Toc343765465"/>
      <w:bookmarkStart w:id="433" w:name="_Toc402776537"/>
      <w:bookmarkStart w:id="434" w:name="_Toc217305633"/>
      <w:r w:rsidRPr="002513B4">
        <w:rPr>
          <w:lang w:val="en-US"/>
        </w:rPr>
        <w:lastRenderedPageBreak/>
        <w:t>C</w:t>
      </w:r>
      <w:r w:rsidR="009F27F5" w:rsidRPr="002513B4">
        <w:rPr>
          <w:lang w:val="en-US"/>
        </w:rPr>
        <w:t>hapter</w:t>
      </w:r>
      <w:r w:rsidR="00407A1E" w:rsidRPr="002513B4">
        <w:rPr>
          <w:lang w:val="en-US"/>
        </w:rPr>
        <w:t xml:space="preserve"> 13:</w:t>
      </w:r>
      <w:r w:rsidR="00EE74F9" w:rsidRPr="002513B4">
        <w:rPr>
          <w:lang w:val="en-US"/>
        </w:rPr>
        <w:t xml:space="preserve"> Public Reporting</w:t>
      </w:r>
      <w:bookmarkEnd w:id="431"/>
      <w:bookmarkEnd w:id="432"/>
      <w:bookmarkEnd w:id="433"/>
      <w:bookmarkEnd w:id="434"/>
    </w:p>
    <w:tbl>
      <w:tblPr>
        <w:tblStyle w:val="TableGrid"/>
        <w:tblpPr w:leftFromText="180" w:rightFromText="180" w:vertAnchor="text" w:tblpXSpec="right" w:tblpY="1"/>
        <w:tblOverlap w:val="never"/>
        <w:tblW w:w="0" w:type="auto"/>
        <w:jc w:val="right"/>
        <w:shd w:val="clear" w:color="auto" w:fill="F79646"/>
        <w:tblLook w:val="04A0" w:firstRow="1" w:lastRow="0" w:firstColumn="1" w:lastColumn="0" w:noHBand="0" w:noVBand="1"/>
      </w:tblPr>
      <w:tblGrid>
        <w:gridCol w:w="3865"/>
      </w:tblGrid>
      <w:tr w:rsidR="009828CF" w:rsidRPr="002513B4" w14:paraId="35CC35F4" w14:textId="77777777" w:rsidTr="009828CF">
        <w:trPr>
          <w:jc w:val="right"/>
        </w:trPr>
        <w:tc>
          <w:tcPr>
            <w:tcW w:w="3865" w:type="dxa"/>
            <w:shd w:val="clear" w:color="auto" w:fill="F79646"/>
          </w:tcPr>
          <w:p w14:paraId="79DD31CB" w14:textId="6CDC418E" w:rsidR="009828CF" w:rsidRPr="002513B4" w:rsidRDefault="009828CF" w:rsidP="009828CF">
            <w:bookmarkStart w:id="435" w:name="_Toc251318198"/>
            <w:bookmarkStart w:id="436" w:name="_Toc407633126"/>
            <w:bookmarkStart w:id="437" w:name="_Toc24713404"/>
            <w:r w:rsidRPr="002513B4">
              <w:rPr>
                <w:b/>
                <w:bCs/>
              </w:rPr>
              <w:t xml:space="preserve">NOTE: </w:t>
            </w:r>
            <w:r w:rsidRPr="002513B4">
              <w:t xml:space="preserve">This chapter reflects analysis and public reporting information on the </w:t>
            </w:r>
            <w:r w:rsidRPr="002513B4">
              <w:rPr>
                <w:b/>
                <w:bCs/>
                <w:i/>
                <w:iCs/>
              </w:rPr>
              <w:t>current</w:t>
            </w:r>
            <w:r w:rsidRPr="002513B4">
              <w:t xml:space="preserve"> HHCAHPS Survey instrument and measures, which will be publicly reported through 2026. The revised HHCAHPS Survey data and modified publicly reported measures (as discussed in section 13.3) are scheduled to be publicly reported in 2027.</w:t>
            </w:r>
          </w:p>
        </w:tc>
      </w:tr>
    </w:tbl>
    <w:p w14:paraId="1A980E5D" w14:textId="2A2AA2E5" w:rsidR="00EE74F9" w:rsidRPr="002513B4" w:rsidRDefault="00407A1E" w:rsidP="00EE74F9">
      <w:pPr>
        <w:pStyle w:val="Heading3"/>
        <w:rPr>
          <w:lang w:val="en-US"/>
        </w:rPr>
      </w:pPr>
      <w:bookmarkStart w:id="438" w:name="_Toc217305634"/>
      <w:r w:rsidRPr="002513B4">
        <w:rPr>
          <w:lang w:val="en-US"/>
        </w:rPr>
        <w:t>13.1</w:t>
      </w:r>
      <w:r w:rsidRPr="002513B4">
        <w:rPr>
          <w:lang w:val="en-US"/>
        </w:rPr>
        <w:tab/>
      </w:r>
      <w:r w:rsidR="00EE74F9" w:rsidRPr="002513B4">
        <w:rPr>
          <w:lang w:val="en-US"/>
        </w:rPr>
        <w:t>Overview</w:t>
      </w:r>
      <w:bookmarkEnd w:id="435"/>
      <w:bookmarkEnd w:id="436"/>
      <w:bookmarkEnd w:id="437"/>
      <w:bookmarkEnd w:id="438"/>
    </w:p>
    <w:p w14:paraId="566BD535" w14:textId="58E47CD8" w:rsidR="00EE74F9" w:rsidRPr="002513B4" w:rsidRDefault="00EE74F9" w:rsidP="00EE74F9">
      <w:pPr>
        <w:pStyle w:val="BodyText"/>
        <w:rPr>
          <w:rFonts w:ascii="Arial" w:hAnsi="Arial" w:cs="Arial"/>
          <w:b/>
          <w:bCs/>
          <w:color w:val="FFFFFF" w:themeColor="background1"/>
          <w:shd w:val="clear" w:color="auto" w:fill="000000" w:themeFill="text1"/>
          <w:lang w:val="en-US"/>
        </w:rPr>
      </w:pPr>
      <w:r w:rsidRPr="002513B4">
        <w:rPr>
          <w:lang w:val="en-US"/>
        </w:rPr>
        <w:t xml:space="preserve">This chapter describes the public reporting activities associated with the HHCAHPS Survey. Publicly reported data are available on the </w:t>
      </w:r>
      <w:hyperlink r:id="rId152" w:history="1">
        <w:r w:rsidR="00D965E3" w:rsidRPr="002513B4">
          <w:rPr>
            <w:rStyle w:val="Hyperlink"/>
            <w:lang w:val="en-US"/>
          </w:rPr>
          <w:t>Care Compare website</w:t>
        </w:r>
      </w:hyperlink>
      <w:r w:rsidRPr="002513B4">
        <w:rPr>
          <w:lang w:val="en-US"/>
        </w:rPr>
        <w:t xml:space="preserve">. Results from the HHCAHPS Survey are published quarterly and include each HHA’s most recent four quarters of data. </w:t>
      </w:r>
      <w:bookmarkStart w:id="439" w:name="_Hlk53560630"/>
    </w:p>
    <w:bookmarkEnd w:id="439"/>
    <w:p w14:paraId="01DF40C7" w14:textId="0B9E18AE" w:rsidR="00EE74F9" w:rsidRPr="002513B4" w:rsidRDefault="00EE74F9" w:rsidP="00EE74F9">
      <w:pPr>
        <w:pStyle w:val="BodyText"/>
        <w:rPr>
          <w:lang w:val="en-US"/>
        </w:rPr>
      </w:pPr>
      <w:r w:rsidRPr="002513B4">
        <w:rPr>
          <w:lang w:val="en-US"/>
        </w:rPr>
        <w:t xml:space="preserve">This chapter describes the measures that are publicly reported and explains how the results are adjusted. The chapter concludes with a discussion of star ratings, </w:t>
      </w:r>
      <w:r w:rsidRPr="002513B4">
        <w:rPr>
          <w:i/>
          <w:lang w:val="en-US"/>
        </w:rPr>
        <w:t>Home Health Agency Preview Reports</w:t>
      </w:r>
      <w:r w:rsidRPr="002513B4">
        <w:rPr>
          <w:lang w:val="en-US"/>
        </w:rPr>
        <w:t xml:space="preserve"> and a table showing the quarters included in each public reporting period. </w:t>
      </w:r>
    </w:p>
    <w:p w14:paraId="6CC4C2B2" w14:textId="09D55A78" w:rsidR="00EE74F9" w:rsidRPr="002513B4" w:rsidRDefault="00407A1E" w:rsidP="00EE74F9">
      <w:pPr>
        <w:pStyle w:val="Heading3"/>
        <w:rPr>
          <w:lang w:val="en-US"/>
        </w:rPr>
      </w:pPr>
      <w:bookmarkStart w:id="440" w:name="_Toc224984470"/>
      <w:bookmarkStart w:id="441" w:name="_Toc251318199"/>
      <w:bookmarkStart w:id="442" w:name="_Toc407633127"/>
      <w:bookmarkStart w:id="443" w:name="_Toc24713405"/>
      <w:bookmarkStart w:id="444" w:name="_Toc217305635"/>
      <w:r w:rsidRPr="002513B4">
        <w:rPr>
          <w:lang w:val="en-US"/>
        </w:rPr>
        <w:t>13.2</w:t>
      </w:r>
      <w:r w:rsidRPr="002513B4">
        <w:rPr>
          <w:lang w:val="en-US"/>
        </w:rPr>
        <w:tab/>
      </w:r>
      <w:r w:rsidR="00EE74F9" w:rsidRPr="002513B4">
        <w:rPr>
          <w:lang w:val="en-US"/>
        </w:rPr>
        <w:t>Measures That Are Reported</w:t>
      </w:r>
      <w:bookmarkEnd w:id="440"/>
      <w:bookmarkEnd w:id="441"/>
      <w:bookmarkEnd w:id="442"/>
      <w:bookmarkEnd w:id="443"/>
      <w:r w:rsidR="004859CD" w:rsidRPr="002513B4">
        <w:rPr>
          <w:lang w:val="en-US"/>
        </w:rPr>
        <w:t xml:space="preserve"> Through Quarter 1, 2026</w:t>
      </w:r>
      <w:bookmarkEnd w:id="444"/>
      <w:r w:rsidR="004859CD" w:rsidRPr="002513B4">
        <w:rPr>
          <w:lang w:val="en-US"/>
        </w:rPr>
        <w:t xml:space="preserve"> </w:t>
      </w:r>
    </w:p>
    <w:p w14:paraId="536E0D8B" w14:textId="07524095" w:rsidR="00EE74F9" w:rsidRPr="002513B4" w:rsidRDefault="00EE74F9" w:rsidP="00EE74F9">
      <w:pPr>
        <w:pStyle w:val="BodyText"/>
        <w:rPr>
          <w:lang w:val="en-US"/>
        </w:rPr>
      </w:pPr>
      <w:r w:rsidRPr="002513B4">
        <w:rPr>
          <w:lang w:val="en-US"/>
        </w:rPr>
        <w:t>HHCAHPS Survey results are reported for three composites and two global items:</w:t>
      </w:r>
    </w:p>
    <w:p w14:paraId="400A6709" w14:textId="15971DEB" w:rsidR="00EE74F9" w:rsidRPr="002513B4" w:rsidRDefault="00407A1E" w:rsidP="00EE74F9">
      <w:pPr>
        <w:pStyle w:val="Heading4"/>
        <w:rPr>
          <w:lang w:val="en-US"/>
        </w:rPr>
      </w:pPr>
      <w:r w:rsidRPr="002513B4">
        <w:rPr>
          <w:lang w:val="en-US"/>
        </w:rPr>
        <w:t>13.2.1</w:t>
      </w:r>
      <w:r w:rsidR="008C5292" w:rsidRPr="002513B4">
        <w:rPr>
          <w:lang w:val="en-US"/>
        </w:rPr>
        <w:tab/>
      </w:r>
      <w:r w:rsidR="00EE74F9" w:rsidRPr="002513B4">
        <w:rPr>
          <w:lang w:val="en-US"/>
        </w:rPr>
        <w:t>Composite Measures</w:t>
      </w:r>
    </w:p>
    <w:p w14:paraId="6A1FA06E" w14:textId="3EBE504D" w:rsidR="00EE74F9" w:rsidRPr="002513B4" w:rsidRDefault="00EE74F9" w:rsidP="00EE74F9">
      <w:pPr>
        <w:pStyle w:val="ListBullet"/>
      </w:pPr>
      <w:r w:rsidRPr="002513B4">
        <w:t>Care of Patients (Q9, Q16, Q19, and Q24)</w:t>
      </w:r>
    </w:p>
    <w:p w14:paraId="5A5A85D5" w14:textId="242551BF" w:rsidR="00EE74F9" w:rsidRPr="002513B4" w:rsidRDefault="00EE74F9" w:rsidP="00EE74F9">
      <w:pPr>
        <w:pStyle w:val="ListBullet"/>
      </w:pPr>
      <w:r w:rsidRPr="002513B4">
        <w:t>Communications Between Providers and Patients (Q2, Q15, Q17, Q18, Q22, and Q23)</w:t>
      </w:r>
    </w:p>
    <w:p w14:paraId="5DCD2F78" w14:textId="6F3C642A" w:rsidR="00EE74F9" w:rsidRPr="002513B4" w:rsidRDefault="00EE74F9" w:rsidP="00EE74F9">
      <w:pPr>
        <w:pStyle w:val="ListBullet"/>
      </w:pPr>
      <w:r w:rsidRPr="002513B4">
        <w:t>Specific Care Issues (Q3, Q4, Q5, Q10, Q12, Q13, and Q14)</w:t>
      </w:r>
    </w:p>
    <w:p w14:paraId="23A2E86F" w14:textId="3FF876A6" w:rsidR="00EE74F9" w:rsidRPr="002513B4" w:rsidRDefault="00407A1E" w:rsidP="00EE74F9">
      <w:pPr>
        <w:pStyle w:val="Heading4"/>
        <w:rPr>
          <w:lang w:val="en-US"/>
        </w:rPr>
      </w:pPr>
      <w:r w:rsidRPr="002513B4">
        <w:rPr>
          <w:lang w:val="en-US"/>
        </w:rPr>
        <w:t>13.2.2</w:t>
      </w:r>
      <w:r w:rsidR="008C5292" w:rsidRPr="002513B4">
        <w:rPr>
          <w:lang w:val="en-US"/>
        </w:rPr>
        <w:tab/>
      </w:r>
      <w:r w:rsidR="00EE74F9" w:rsidRPr="002513B4">
        <w:rPr>
          <w:lang w:val="en-US"/>
        </w:rPr>
        <w:t>Global Items</w:t>
      </w:r>
    </w:p>
    <w:p w14:paraId="3BBBBBFF" w14:textId="67A3957D" w:rsidR="00EE74F9" w:rsidRPr="002513B4" w:rsidRDefault="00EE74F9" w:rsidP="00EE74F9">
      <w:pPr>
        <w:pStyle w:val="ListBullet"/>
      </w:pPr>
      <w:r w:rsidRPr="002513B4">
        <w:t>Overall rating of care (Q20)</w:t>
      </w:r>
    </w:p>
    <w:p w14:paraId="2C27FF07" w14:textId="425FC739" w:rsidR="00EE74F9" w:rsidRPr="002513B4" w:rsidRDefault="00EE74F9" w:rsidP="00EE74F9">
      <w:pPr>
        <w:pStyle w:val="ListBullet"/>
      </w:pPr>
      <w:r w:rsidRPr="002513B4">
        <w:t>Patient willingness to recommend HHA to family or friends (Q25)</w:t>
      </w:r>
    </w:p>
    <w:p w14:paraId="156F7DC5" w14:textId="777BAD32" w:rsidR="00EE74F9" w:rsidRPr="002513B4" w:rsidRDefault="00EE74F9" w:rsidP="00EE74F9">
      <w:pPr>
        <w:pStyle w:val="BodyText"/>
        <w:rPr>
          <w:lang w:val="en-US"/>
        </w:rPr>
      </w:pPr>
      <w:r w:rsidRPr="002513B4">
        <w:rPr>
          <w:lang w:val="en-US"/>
        </w:rPr>
        <w:t>Each of the three composite measures consists of four or more questions from the survey that are about related topics. The results from the questions that comprise a composite are reported as one score. Composite scores are compiled by calculating the proportion of cases that responded to each answer choice in the questions that comprise the composite. Once the proportions of responses to all answer choices in the questions in the composite are calculated, the average proportion of those responding to each answer choice in all questions in the composite is calculated. Only questions that are answered by survey respondents are included in the calculation of composite scores.</w:t>
      </w:r>
    </w:p>
    <w:p w14:paraId="56D7CC35" w14:textId="02774603" w:rsidR="004859CD" w:rsidRPr="002513B4" w:rsidRDefault="004859CD" w:rsidP="004859CD">
      <w:pPr>
        <w:pStyle w:val="Heading3"/>
        <w:rPr>
          <w:lang w:val="en-US"/>
        </w:rPr>
      </w:pPr>
      <w:bookmarkStart w:id="445" w:name="_Toc217305636"/>
      <w:bookmarkStart w:id="446" w:name="_Toc224984471"/>
      <w:bookmarkStart w:id="447" w:name="_Toc251318200"/>
      <w:bookmarkStart w:id="448" w:name="_Toc407633128"/>
      <w:bookmarkStart w:id="449" w:name="_Toc24713406"/>
      <w:r w:rsidRPr="002513B4">
        <w:rPr>
          <w:lang w:val="en-US"/>
        </w:rPr>
        <w:lastRenderedPageBreak/>
        <w:t>13.</w:t>
      </w:r>
      <w:r w:rsidR="00480B66" w:rsidRPr="002513B4">
        <w:rPr>
          <w:lang w:val="en-US"/>
        </w:rPr>
        <w:t>3</w:t>
      </w:r>
      <w:r w:rsidRPr="002513B4">
        <w:rPr>
          <w:lang w:val="en-US"/>
        </w:rPr>
        <w:tab/>
        <w:t>Future Measures That Will Be Reported</w:t>
      </w:r>
      <w:r w:rsidR="00480B66" w:rsidRPr="002513B4">
        <w:rPr>
          <w:rStyle w:val="FootnoteReference"/>
          <w:lang w:val="en-US"/>
        </w:rPr>
        <w:footnoteReference w:id="13"/>
      </w:r>
      <w:bookmarkEnd w:id="445"/>
    </w:p>
    <w:p w14:paraId="2FC1E898" w14:textId="2105C84B" w:rsidR="004859CD" w:rsidRPr="002513B4" w:rsidRDefault="004859CD" w:rsidP="004859CD">
      <w:pPr>
        <w:pStyle w:val="BodyText"/>
        <w:rPr>
          <w:lang w:val="en-US"/>
        </w:rPr>
      </w:pPr>
      <w:r w:rsidRPr="002513B4">
        <w:rPr>
          <w:lang w:val="en-US"/>
        </w:rPr>
        <w:t>The mo</w:t>
      </w:r>
      <w:r w:rsidR="00787005" w:rsidRPr="002513B4">
        <w:rPr>
          <w:lang w:val="en-US"/>
        </w:rPr>
        <w:t>d</w:t>
      </w:r>
      <w:r w:rsidRPr="002513B4">
        <w:rPr>
          <w:lang w:val="en-US"/>
        </w:rPr>
        <w:t>ified HHCAHPS Survey measures that CMS intends to publicly report with the updated survey instrument will include two composites</w:t>
      </w:r>
      <w:r w:rsidR="0060401C" w:rsidRPr="002513B4">
        <w:rPr>
          <w:lang w:val="en-US"/>
        </w:rPr>
        <w:t>, three individual measures,</w:t>
      </w:r>
      <w:r w:rsidRPr="002513B4">
        <w:rPr>
          <w:lang w:val="en-US"/>
        </w:rPr>
        <w:t xml:space="preserve"> and </w:t>
      </w:r>
      <w:r w:rsidR="0060401C" w:rsidRPr="002513B4">
        <w:rPr>
          <w:lang w:val="en-US"/>
        </w:rPr>
        <w:t>two</w:t>
      </w:r>
      <w:r w:rsidRPr="002513B4">
        <w:rPr>
          <w:lang w:val="en-US"/>
        </w:rPr>
        <w:t xml:space="preserve"> global </w:t>
      </w:r>
      <w:r w:rsidR="0060401C" w:rsidRPr="002513B4">
        <w:rPr>
          <w:lang w:val="en-US"/>
        </w:rPr>
        <w:t>measures</w:t>
      </w:r>
      <w:r w:rsidRPr="002513B4">
        <w:rPr>
          <w:lang w:val="en-US"/>
        </w:rPr>
        <w:t>:</w:t>
      </w:r>
    </w:p>
    <w:p w14:paraId="3D04D2CE" w14:textId="4647A196" w:rsidR="004859CD" w:rsidRPr="002513B4" w:rsidRDefault="004859CD" w:rsidP="004859CD">
      <w:pPr>
        <w:pStyle w:val="Heading4"/>
        <w:rPr>
          <w:lang w:val="en-US"/>
        </w:rPr>
      </w:pPr>
      <w:r w:rsidRPr="002513B4">
        <w:rPr>
          <w:lang w:val="en-US"/>
        </w:rPr>
        <w:t>13.</w:t>
      </w:r>
      <w:r w:rsidR="00480B66" w:rsidRPr="002513B4">
        <w:rPr>
          <w:lang w:val="en-US"/>
        </w:rPr>
        <w:t>3</w:t>
      </w:r>
      <w:r w:rsidRPr="002513B4">
        <w:rPr>
          <w:lang w:val="en-US"/>
        </w:rPr>
        <w:t>.1</w:t>
      </w:r>
      <w:r w:rsidR="008C5292" w:rsidRPr="002513B4">
        <w:rPr>
          <w:lang w:val="en-US"/>
        </w:rPr>
        <w:tab/>
      </w:r>
      <w:r w:rsidRPr="002513B4">
        <w:rPr>
          <w:lang w:val="en-US"/>
        </w:rPr>
        <w:t>Composite Measures</w:t>
      </w:r>
    </w:p>
    <w:p w14:paraId="7D17FC87" w14:textId="77777777" w:rsidR="004859CD" w:rsidRPr="002513B4" w:rsidRDefault="004859CD" w:rsidP="004859CD">
      <w:pPr>
        <w:pStyle w:val="ListBullet"/>
      </w:pPr>
      <w:r w:rsidRPr="002513B4">
        <w:t>Care of Patients (Q6, Q7, Q10, Q11, and Q13)</w:t>
      </w:r>
    </w:p>
    <w:p w14:paraId="1C3FC320" w14:textId="77777777" w:rsidR="004859CD" w:rsidRPr="002513B4" w:rsidRDefault="004859CD" w:rsidP="004859CD">
      <w:pPr>
        <w:pStyle w:val="ListBullet"/>
      </w:pPr>
      <w:r w:rsidRPr="002513B4">
        <w:t>Communications Between Providers and Patients (Q5, Q8, Q9, Q12, and Q16)</w:t>
      </w:r>
    </w:p>
    <w:p w14:paraId="552D74AC" w14:textId="632B6AF0" w:rsidR="004859CD" w:rsidRPr="002513B4" w:rsidRDefault="004859CD" w:rsidP="004859CD">
      <w:pPr>
        <w:pStyle w:val="Heading4"/>
        <w:rPr>
          <w:lang w:val="en-US"/>
        </w:rPr>
      </w:pPr>
      <w:r w:rsidRPr="002513B4">
        <w:rPr>
          <w:lang w:val="en-US"/>
        </w:rPr>
        <w:t>13.</w:t>
      </w:r>
      <w:r w:rsidR="00480B66" w:rsidRPr="002513B4">
        <w:rPr>
          <w:lang w:val="en-US"/>
        </w:rPr>
        <w:t>3</w:t>
      </w:r>
      <w:r w:rsidRPr="002513B4">
        <w:rPr>
          <w:lang w:val="en-US"/>
        </w:rPr>
        <w:t>.2</w:t>
      </w:r>
      <w:r w:rsidR="008C5292" w:rsidRPr="002513B4">
        <w:rPr>
          <w:lang w:val="en-US"/>
        </w:rPr>
        <w:tab/>
      </w:r>
      <w:r w:rsidR="00480B66" w:rsidRPr="002513B4">
        <w:rPr>
          <w:lang w:val="en-US"/>
        </w:rPr>
        <w:t>Individual Measures</w:t>
      </w:r>
    </w:p>
    <w:p w14:paraId="4BE1C05A" w14:textId="77777777" w:rsidR="004859CD" w:rsidRPr="002513B4" w:rsidRDefault="004859CD" w:rsidP="004859CD">
      <w:pPr>
        <w:pStyle w:val="ListBullet"/>
      </w:pPr>
      <w:r w:rsidRPr="002513B4">
        <w:t>Talk About Home Safety (Q2)</w:t>
      </w:r>
    </w:p>
    <w:p w14:paraId="2E9D1CAE" w14:textId="77777777" w:rsidR="004859CD" w:rsidRPr="002513B4" w:rsidRDefault="004859CD" w:rsidP="004859CD">
      <w:pPr>
        <w:pStyle w:val="ListBullet"/>
      </w:pPr>
      <w:r w:rsidRPr="002513B4">
        <w:t>Review Medicines (Q3)</w:t>
      </w:r>
    </w:p>
    <w:p w14:paraId="5C620CD6" w14:textId="77777777" w:rsidR="004859CD" w:rsidRPr="002513B4" w:rsidRDefault="004859CD" w:rsidP="004859CD">
      <w:pPr>
        <w:pStyle w:val="ListBullet"/>
      </w:pPr>
      <w:r w:rsidRPr="002513B4">
        <w:t>Talk About Medicine Side Effects (Q4)</w:t>
      </w:r>
    </w:p>
    <w:p w14:paraId="2F98DCE7" w14:textId="3F977222" w:rsidR="00480B66" w:rsidRPr="002513B4" w:rsidRDefault="00480B66" w:rsidP="00480B66">
      <w:pPr>
        <w:pStyle w:val="Heading4"/>
        <w:rPr>
          <w:lang w:val="en-US"/>
        </w:rPr>
      </w:pPr>
      <w:r w:rsidRPr="002513B4">
        <w:rPr>
          <w:lang w:val="en-US"/>
        </w:rPr>
        <w:t>13.3.3</w:t>
      </w:r>
      <w:r w:rsidR="008C5292" w:rsidRPr="002513B4">
        <w:rPr>
          <w:lang w:val="en-US"/>
        </w:rPr>
        <w:tab/>
      </w:r>
      <w:r w:rsidRPr="002513B4">
        <w:rPr>
          <w:lang w:val="en-US"/>
        </w:rPr>
        <w:t xml:space="preserve">Global </w:t>
      </w:r>
      <w:r w:rsidR="0060401C" w:rsidRPr="002513B4">
        <w:rPr>
          <w:lang w:val="en-US"/>
        </w:rPr>
        <w:t>Measures</w:t>
      </w:r>
    </w:p>
    <w:p w14:paraId="38934E7A" w14:textId="77777777" w:rsidR="004859CD" w:rsidRPr="002513B4" w:rsidRDefault="004859CD" w:rsidP="004859CD">
      <w:pPr>
        <w:pStyle w:val="ListBullet"/>
      </w:pPr>
      <w:r w:rsidRPr="002513B4">
        <w:t>Overall rating of care (Q14)</w:t>
      </w:r>
    </w:p>
    <w:p w14:paraId="063664E8" w14:textId="77777777" w:rsidR="004859CD" w:rsidRPr="002513B4" w:rsidRDefault="004859CD" w:rsidP="004859CD">
      <w:pPr>
        <w:pStyle w:val="ListBullet"/>
      </w:pPr>
      <w:r w:rsidRPr="002513B4">
        <w:t>Patient willingness to recommend HHA to family or friends (Q17)</w:t>
      </w:r>
    </w:p>
    <w:p w14:paraId="6FC9CFCD" w14:textId="7D5E4217" w:rsidR="004859CD" w:rsidRPr="002513B4" w:rsidRDefault="004859CD" w:rsidP="004859CD">
      <w:pPr>
        <w:pStyle w:val="BodyText"/>
        <w:rPr>
          <w:lang w:val="en-US"/>
        </w:rPr>
      </w:pPr>
      <w:r w:rsidRPr="002513B4">
        <w:rPr>
          <w:lang w:val="en-US"/>
        </w:rPr>
        <w:t xml:space="preserve">CMS intends to use the same process for calculating the above measures that is currently used (see </w:t>
      </w:r>
      <w:r w:rsidR="00C86598" w:rsidRPr="002513B4">
        <w:rPr>
          <w:b/>
          <w:bCs/>
          <w:i/>
          <w:iCs/>
          <w:lang w:val="en-US"/>
        </w:rPr>
        <w:t>S</w:t>
      </w:r>
      <w:r w:rsidRPr="002513B4">
        <w:rPr>
          <w:b/>
          <w:bCs/>
          <w:i/>
          <w:iCs/>
          <w:lang w:val="en-US"/>
        </w:rPr>
        <w:t>ection 13.2</w:t>
      </w:r>
      <w:r w:rsidRPr="002513B4">
        <w:rPr>
          <w:lang w:val="en-US"/>
        </w:rPr>
        <w:t xml:space="preserve"> above). These modified measures have been endorsed by a consensus-based entity. </w:t>
      </w:r>
      <w:r w:rsidR="00480B66" w:rsidRPr="002513B4">
        <w:rPr>
          <w:lang w:val="en-US"/>
        </w:rPr>
        <w:t xml:space="preserve">More information will be available via the HHCAHPS website closer to when </w:t>
      </w:r>
      <w:r w:rsidR="0056514B" w:rsidRPr="002513B4">
        <w:rPr>
          <w:lang w:val="en-US"/>
        </w:rPr>
        <w:t>these</w:t>
      </w:r>
      <w:r w:rsidR="00480B66" w:rsidRPr="002513B4">
        <w:rPr>
          <w:lang w:val="en-US"/>
        </w:rPr>
        <w:t xml:space="preserve"> modified HHCAHPS measures are publicly reported. </w:t>
      </w:r>
    </w:p>
    <w:p w14:paraId="7138BA51" w14:textId="35CD5F7D" w:rsidR="00EE74F9" w:rsidRPr="002513B4" w:rsidRDefault="00407A1E" w:rsidP="00EE74F9">
      <w:pPr>
        <w:pStyle w:val="Heading3"/>
        <w:rPr>
          <w:lang w:val="en-US"/>
        </w:rPr>
      </w:pPr>
      <w:bookmarkStart w:id="450" w:name="_Toc217305637"/>
      <w:r w:rsidRPr="002513B4">
        <w:rPr>
          <w:lang w:val="en-US"/>
        </w:rPr>
        <w:t>13.</w:t>
      </w:r>
      <w:r w:rsidR="00480B66" w:rsidRPr="002513B4">
        <w:rPr>
          <w:lang w:val="en-US"/>
        </w:rPr>
        <w:t>4</w:t>
      </w:r>
      <w:r w:rsidRPr="002513B4">
        <w:rPr>
          <w:lang w:val="en-US"/>
        </w:rPr>
        <w:tab/>
      </w:r>
      <w:r w:rsidR="00EE74F9" w:rsidRPr="002513B4">
        <w:rPr>
          <w:lang w:val="en-US"/>
        </w:rPr>
        <w:t>Adjustment and Reporting of Results</w:t>
      </w:r>
      <w:bookmarkEnd w:id="446"/>
      <w:bookmarkEnd w:id="447"/>
      <w:bookmarkEnd w:id="448"/>
      <w:bookmarkEnd w:id="449"/>
      <w:bookmarkEnd w:id="450"/>
    </w:p>
    <w:p w14:paraId="2850A7C5" w14:textId="0FABA233" w:rsidR="00EE74F9" w:rsidRPr="002513B4" w:rsidRDefault="00EE74F9" w:rsidP="00EE74F9">
      <w:pPr>
        <w:pStyle w:val="BodyText"/>
        <w:rPr>
          <w:lang w:val="en-US"/>
        </w:rPr>
      </w:pPr>
      <w:r w:rsidRPr="002513B4">
        <w:rPr>
          <w:lang w:val="en-US"/>
        </w:rPr>
        <w:t xml:space="preserve">In 2009, </w:t>
      </w:r>
      <w:r w:rsidR="00BD2C1E" w:rsidRPr="002513B4">
        <w:rPr>
          <w:lang w:val="en-US"/>
        </w:rPr>
        <w:t>CMS</w:t>
      </w:r>
      <w:r w:rsidRPr="002513B4">
        <w:rPr>
          <w:lang w:val="en-US"/>
        </w:rPr>
        <w:t xml:space="preserve"> conducted a mode experiment to test the effects of using three data collection modes: mail only, telephone only, and mixed mode (mail with telephone follow-up of nonrespondents). Since that time, the HHCAHPS Survey Coordination Team has repeated the same analyses conducted on mode experiment data using data collected by HHCAHPS Survey vendors for sample months in Quarter 4 of </w:t>
      </w:r>
      <w:r w:rsidR="002A6258" w:rsidRPr="002513B4">
        <w:rPr>
          <w:lang w:val="en-US"/>
        </w:rPr>
        <w:t>CY</w:t>
      </w:r>
      <w:r w:rsidRPr="002513B4">
        <w:rPr>
          <w:lang w:val="en-US"/>
        </w:rPr>
        <w:t xml:space="preserve"> 2010 (CY2010,Q4) through Quarter 2 of </w:t>
      </w:r>
      <w:r w:rsidR="002A6258" w:rsidRPr="002513B4">
        <w:rPr>
          <w:lang w:val="en-US"/>
        </w:rPr>
        <w:t>CY</w:t>
      </w:r>
      <w:r w:rsidRPr="002513B4">
        <w:rPr>
          <w:lang w:val="en-US"/>
        </w:rPr>
        <w:t xml:space="preserve"> 2011 (CY2011,Q2).</w:t>
      </w:r>
    </w:p>
    <w:p w14:paraId="3940EB3C" w14:textId="399339E1" w:rsidR="00EE74F9" w:rsidRPr="002513B4" w:rsidRDefault="00EE74F9" w:rsidP="00EE74F9">
      <w:pPr>
        <w:pStyle w:val="BodyText"/>
        <w:rPr>
          <w:lang w:val="en-US"/>
        </w:rPr>
      </w:pPr>
      <w:r w:rsidRPr="002513B4">
        <w:rPr>
          <w:lang w:val="en-US"/>
        </w:rPr>
        <w:t xml:space="preserve">Some patients’ assessments of the care they received from HHAs may be influenced by patient characteristics that are beyond the HHAs’ control. CMS used the data from the mode experiment and the data collected from CY2010,Q4 through CY2011,Q2 to determine whether and to what extent characteristics of patients participating in the HHCAHPS Survey </w:t>
      </w:r>
      <w:r w:rsidRPr="002513B4">
        <w:rPr>
          <w:lang w:val="en-US"/>
        </w:rPr>
        <w:lastRenderedPageBreak/>
        <w:t xml:space="preserve">statistically affect survey results. Statistical models were developed to adjust or control for these patient characteristics when survey results are publicly reported. Some patients may not respond to the survey, and this may impact the accuracy and comparability of results. Therefore, the data from the mode experiment and the </w:t>
      </w:r>
      <w:proofErr w:type="gramStart"/>
      <w:r w:rsidRPr="002513B4">
        <w:rPr>
          <w:lang w:val="en-US"/>
        </w:rPr>
        <w:t>aforementioned quarters</w:t>
      </w:r>
      <w:proofErr w:type="gramEnd"/>
      <w:r w:rsidRPr="002513B4">
        <w:rPr>
          <w:lang w:val="en-US"/>
        </w:rPr>
        <w:t xml:space="preserve"> of the national implementation were analyzed to detect potential nonresponse bias. The results of these analyses determined applicable statistical adjustments that are made on each quarter of the HHCAHPS Survey data.</w:t>
      </w:r>
    </w:p>
    <w:p w14:paraId="0A8D3F42" w14:textId="2CBC3A29" w:rsidR="00EE74F9" w:rsidRPr="002513B4" w:rsidRDefault="00EE74F9" w:rsidP="00EE74F9">
      <w:pPr>
        <w:pStyle w:val="BodyText"/>
        <w:rPr>
          <w:lang w:val="en-US"/>
        </w:rPr>
      </w:pPr>
      <w:r w:rsidRPr="002513B4">
        <w:rPr>
          <w:lang w:val="en-US"/>
        </w:rPr>
        <w:t xml:space="preserve">HHCAHPS Survey results are published on Medicare’s </w:t>
      </w:r>
      <w:hyperlink r:id="rId153" w:history="1">
        <w:r w:rsidR="00D965E3" w:rsidRPr="002513B4">
          <w:rPr>
            <w:rStyle w:val="Hyperlink"/>
            <w:lang w:val="en-US"/>
          </w:rPr>
          <w:t>Care Compare website</w:t>
        </w:r>
      </w:hyperlink>
      <w:r w:rsidRPr="002513B4">
        <w:rPr>
          <w:lang w:val="en-US"/>
        </w:rPr>
        <w:t xml:space="preserve">. Each HHA’s results are compared with national and state averages. Results are reported for a rolling four quarters of data that are updated quarterly by replacing the oldest quarter of data with data from the most recent quarter. </w:t>
      </w:r>
      <w:r w:rsidRPr="002513B4">
        <w:rPr>
          <w:b/>
          <w:bCs/>
          <w:i/>
          <w:iCs/>
          <w:lang w:val="en-US"/>
        </w:rPr>
        <w:t>Table 13.1</w:t>
      </w:r>
      <w:r w:rsidRPr="002513B4">
        <w:rPr>
          <w:lang w:val="en-US"/>
        </w:rPr>
        <w:t xml:space="preserve"> shows a crosswalk of the composite measures and global ratings mapped to the text that is displayed on Medicare’s Care Compare website.</w:t>
      </w:r>
    </w:p>
    <w:p w14:paraId="67C06E03" w14:textId="356866F0" w:rsidR="00EE74F9" w:rsidRPr="002513B4" w:rsidRDefault="00EE74F9" w:rsidP="00EE74F9">
      <w:pPr>
        <w:pStyle w:val="TableCaption"/>
      </w:pPr>
      <w:bookmarkStart w:id="451" w:name="_Toc407633141"/>
      <w:bookmarkStart w:id="452" w:name="_Toc24713428"/>
      <w:bookmarkStart w:id="453" w:name="_Toc217024918"/>
      <w:r w:rsidRPr="002513B4">
        <w:t>Table 13.1</w:t>
      </w:r>
      <w:r w:rsidR="00AF6BE4" w:rsidRPr="002513B4">
        <w:t xml:space="preserve"> </w:t>
      </w:r>
      <w:bookmarkStart w:id="454" w:name="_Hlk53469896"/>
      <w:r w:rsidRPr="002513B4">
        <w:t>Crosswalk of Composite Measures and Global Ratings to Medicare’s Care Compare Website Text</w:t>
      </w:r>
      <w:bookmarkEnd w:id="451"/>
      <w:bookmarkEnd w:id="452"/>
      <w:bookmarkEnd w:id="45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Description w:val="Table 13.1 provides a crosswalk of Composite Measures and Global Ratings to Medicare’s Care Compare website text including the questions used to measure each and the text that is displayed on the Care Compare website &#10;"/>
      </w:tblPr>
      <w:tblGrid>
        <w:gridCol w:w="2488"/>
        <w:gridCol w:w="2700"/>
        <w:gridCol w:w="4172"/>
      </w:tblGrid>
      <w:tr w:rsidR="00EE74F9" w:rsidRPr="002513B4" w14:paraId="61F14C25" w14:textId="77777777" w:rsidTr="00AF6BE4">
        <w:trPr>
          <w:cantSplit/>
          <w:tblHeader/>
        </w:trPr>
        <w:tc>
          <w:tcPr>
            <w:tcW w:w="2488" w:type="dxa"/>
            <w:shd w:val="clear" w:color="auto" w:fill="1F497D"/>
            <w:vAlign w:val="bottom"/>
          </w:tcPr>
          <w:p w14:paraId="5C495B47" w14:textId="77777777" w:rsidR="00EE74F9" w:rsidRPr="002513B4" w:rsidRDefault="00EE74F9" w:rsidP="00C553FE">
            <w:pPr>
              <w:pStyle w:val="TableHeaders"/>
              <w:spacing w:before="10" w:after="10"/>
              <w:rPr>
                <w:color w:val="FFFFFF" w:themeColor="background1"/>
                <w:sz w:val="18"/>
                <w:szCs w:val="18"/>
              </w:rPr>
            </w:pPr>
            <w:r w:rsidRPr="002513B4">
              <w:rPr>
                <w:color w:val="FFFFFF" w:themeColor="background1"/>
                <w:sz w:val="18"/>
                <w:szCs w:val="18"/>
              </w:rPr>
              <w:t>HHCAHPS Composite Measurements/</w:t>
            </w:r>
            <w:r w:rsidRPr="002513B4">
              <w:rPr>
                <w:color w:val="FFFFFF" w:themeColor="background1"/>
                <w:sz w:val="18"/>
                <w:szCs w:val="18"/>
              </w:rPr>
              <w:br/>
              <w:t>Global Ratings</w:t>
            </w:r>
          </w:p>
        </w:tc>
        <w:tc>
          <w:tcPr>
            <w:tcW w:w="2700" w:type="dxa"/>
            <w:shd w:val="clear" w:color="auto" w:fill="1F497D"/>
            <w:vAlign w:val="bottom"/>
          </w:tcPr>
          <w:p w14:paraId="053FAC1B" w14:textId="77777777" w:rsidR="00EE74F9" w:rsidRPr="002513B4" w:rsidRDefault="00EE74F9" w:rsidP="00C553FE">
            <w:pPr>
              <w:pStyle w:val="TableHeaders"/>
              <w:spacing w:before="10" w:after="10"/>
              <w:rPr>
                <w:color w:val="FFFFFF" w:themeColor="background1"/>
                <w:sz w:val="18"/>
                <w:szCs w:val="18"/>
              </w:rPr>
            </w:pPr>
            <w:r w:rsidRPr="002513B4">
              <w:rPr>
                <w:color w:val="FFFFFF" w:themeColor="background1"/>
                <w:sz w:val="18"/>
                <w:szCs w:val="18"/>
              </w:rPr>
              <w:t>HHCAHPS Questions Included in Composite/</w:t>
            </w:r>
            <w:r w:rsidRPr="002513B4">
              <w:rPr>
                <w:color w:val="FFFFFF" w:themeColor="background1"/>
                <w:sz w:val="18"/>
                <w:szCs w:val="18"/>
              </w:rPr>
              <w:br/>
              <w:t>Global Rating</w:t>
            </w:r>
          </w:p>
        </w:tc>
        <w:tc>
          <w:tcPr>
            <w:tcW w:w="4172" w:type="dxa"/>
            <w:shd w:val="clear" w:color="auto" w:fill="1F497D"/>
            <w:vAlign w:val="bottom"/>
          </w:tcPr>
          <w:p w14:paraId="76BA3E34" w14:textId="77777777" w:rsidR="00EE74F9" w:rsidRPr="002513B4" w:rsidRDefault="00EE74F9" w:rsidP="00C553FE">
            <w:pPr>
              <w:pStyle w:val="TableHeaders"/>
              <w:spacing w:before="10" w:after="10"/>
              <w:rPr>
                <w:color w:val="FFFFFF" w:themeColor="background1"/>
                <w:sz w:val="18"/>
                <w:szCs w:val="18"/>
              </w:rPr>
            </w:pPr>
            <w:r w:rsidRPr="002513B4">
              <w:rPr>
                <w:color w:val="FFFFFF" w:themeColor="background1"/>
                <w:sz w:val="18"/>
                <w:szCs w:val="18"/>
              </w:rPr>
              <w:t>Text Displayed on Medicare’s Care Compare Website</w:t>
            </w:r>
          </w:p>
        </w:tc>
      </w:tr>
      <w:tr w:rsidR="00EE74F9" w:rsidRPr="002513B4" w14:paraId="6ACD00C1" w14:textId="77777777" w:rsidTr="00C553FE">
        <w:trPr>
          <w:cantSplit/>
        </w:trPr>
        <w:tc>
          <w:tcPr>
            <w:tcW w:w="2488" w:type="dxa"/>
          </w:tcPr>
          <w:p w14:paraId="01032001" w14:textId="77777777" w:rsidR="00EE74F9" w:rsidRPr="002513B4" w:rsidRDefault="00EE74F9" w:rsidP="00C553FE">
            <w:pPr>
              <w:pStyle w:val="TableText"/>
              <w:keepNext/>
              <w:spacing w:before="10" w:after="10"/>
              <w:rPr>
                <w:sz w:val="18"/>
                <w:szCs w:val="18"/>
              </w:rPr>
            </w:pPr>
            <w:r w:rsidRPr="002513B4">
              <w:rPr>
                <w:sz w:val="18"/>
                <w:szCs w:val="18"/>
              </w:rPr>
              <w:t>Care of Patients</w:t>
            </w:r>
          </w:p>
        </w:tc>
        <w:tc>
          <w:tcPr>
            <w:tcW w:w="2700" w:type="dxa"/>
          </w:tcPr>
          <w:p w14:paraId="6FEF83CD" w14:textId="6C291BB5" w:rsidR="00EE74F9" w:rsidRPr="002513B4" w:rsidRDefault="00EE74F9" w:rsidP="00C553FE">
            <w:pPr>
              <w:pStyle w:val="TableText"/>
              <w:keepNext/>
              <w:spacing w:before="10" w:after="10"/>
              <w:rPr>
                <w:sz w:val="18"/>
                <w:szCs w:val="18"/>
              </w:rPr>
            </w:pPr>
            <w:r w:rsidRPr="002513B4">
              <w:rPr>
                <w:sz w:val="18"/>
                <w:szCs w:val="18"/>
              </w:rPr>
              <w:t>Q9, Q16, Q19, and Q24</w:t>
            </w:r>
          </w:p>
        </w:tc>
        <w:tc>
          <w:tcPr>
            <w:tcW w:w="4172" w:type="dxa"/>
          </w:tcPr>
          <w:p w14:paraId="52A04D94" w14:textId="2A8E8449" w:rsidR="00EE74F9" w:rsidRPr="002513B4" w:rsidRDefault="00EE74F9" w:rsidP="00C553FE">
            <w:pPr>
              <w:pStyle w:val="TableText"/>
              <w:keepNext/>
              <w:spacing w:before="10" w:after="10"/>
              <w:rPr>
                <w:sz w:val="18"/>
                <w:szCs w:val="18"/>
              </w:rPr>
            </w:pPr>
            <w:r w:rsidRPr="002513B4">
              <w:rPr>
                <w:sz w:val="18"/>
                <w:szCs w:val="18"/>
              </w:rPr>
              <w:t>How often the home health team gave care in a professional way</w:t>
            </w:r>
          </w:p>
        </w:tc>
      </w:tr>
      <w:tr w:rsidR="00EE74F9" w:rsidRPr="002513B4" w14:paraId="4311D8FB" w14:textId="77777777" w:rsidTr="00C553FE">
        <w:trPr>
          <w:cantSplit/>
        </w:trPr>
        <w:tc>
          <w:tcPr>
            <w:tcW w:w="2488" w:type="dxa"/>
          </w:tcPr>
          <w:p w14:paraId="55A2CBB9" w14:textId="77777777" w:rsidR="00EE74F9" w:rsidRPr="002513B4" w:rsidRDefault="00EE74F9" w:rsidP="00C553FE">
            <w:pPr>
              <w:pStyle w:val="TableText"/>
              <w:keepNext/>
              <w:spacing w:before="10" w:after="10"/>
              <w:rPr>
                <w:sz w:val="18"/>
                <w:szCs w:val="18"/>
              </w:rPr>
            </w:pPr>
            <w:r w:rsidRPr="002513B4">
              <w:rPr>
                <w:sz w:val="18"/>
                <w:szCs w:val="18"/>
              </w:rPr>
              <w:t>Communications Between Providers and Patients</w:t>
            </w:r>
          </w:p>
        </w:tc>
        <w:tc>
          <w:tcPr>
            <w:tcW w:w="2700" w:type="dxa"/>
          </w:tcPr>
          <w:p w14:paraId="616E495A" w14:textId="3C310AD4" w:rsidR="00EE74F9" w:rsidRPr="002513B4" w:rsidRDefault="00EE74F9" w:rsidP="00C553FE">
            <w:pPr>
              <w:pStyle w:val="TableText"/>
              <w:keepNext/>
              <w:spacing w:before="10" w:after="10"/>
              <w:rPr>
                <w:sz w:val="18"/>
                <w:szCs w:val="18"/>
              </w:rPr>
            </w:pPr>
            <w:r w:rsidRPr="002513B4">
              <w:rPr>
                <w:sz w:val="18"/>
                <w:szCs w:val="18"/>
              </w:rPr>
              <w:t>Q2, Q15, Q17, Q18, Q22, and Q23</w:t>
            </w:r>
          </w:p>
        </w:tc>
        <w:tc>
          <w:tcPr>
            <w:tcW w:w="4172" w:type="dxa"/>
          </w:tcPr>
          <w:p w14:paraId="5F00F708" w14:textId="3875B1D9" w:rsidR="00EE74F9" w:rsidRPr="002513B4" w:rsidRDefault="00EE74F9" w:rsidP="00C553FE">
            <w:pPr>
              <w:pStyle w:val="TableText"/>
              <w:keepNext/>
              <w:spacing w:before="10" w:after="10"/>
              <w:rPr>
                <w:sz w:val="18"/>
                <w:szCs w:val="18"/>
              </w:rPr>
            </w:pPr>
            <w:r w:rsidRPr="002513B4">
              <w:rPr>
                <w:sz w:val="18"/>
                <w:szCs w:val="18"/>
              </w:rPr>
              <w:t>How well did the home health team communicate with patients</w:t>
            </w:r>
          </w:p>
        </w:tc>
      </w:tr>
      <w:tr w:rsidR="00EE74F9" w:rsidRPr="002513B4" w14:paraId="3D17B9A7" w14:textId="3477886C" w:rsidTr="00C553FE">
        <w:trPr>
          <w:cantSplit/>
        </w:trPr>
        <w:tc>
          <w:tcPr>
            <w:tcW w:w="2488" w:type="dxa"/>
          </w:tcPr>
          <w:p w14:paraId="1EBDDE51" w14:textId="7E8A90C9" w:rsidR="00EE74F9" w:rsidRPr="002513B4" w:rsidRDefault="00EE74F9" w:rsidP="00C553FE">
            <w:pPr>
              <w:pStyle w:val="TableText"/>
              <w:keepNext/>
              <w:spacing w:before="10" w:after="10"/>
              <w:rPr>
                <w:sz w:val="18"/>
                <w:szCs w:val="18"/>
              </w:rPr>
            </w:pPr>
            <w:r w:rsidRPr="002513B4">
              <w:rPr>
                <w:sz w:val="18"/>
                <w:szCs w:val="18"/>
              </w:rPr>
              <w:t>Specific Care Issues</w:t>
            </w:r>
          </w:p>
        </w:tc>
        <w:tc>
          <w:tcPr>
            <w:tcW w:w="2700" w:type="dxa"/>
          </w:tcPr>
          <w:p w14:paraId="750687B0" w14:textId="58527EAB" w:rsidR="00EE74F9" w:rsidRPr="002513B4" w:rsidRDefault="00EE74F9" w:rsidP="00C553FE">
            <w:pPr>
              <w:pStyle w:val="TableText"/>
              <w:keepNext/>
              <w:spacing w:before="10" w:after="10"/>
              <w:rPr>
                <w:sz w:val="18"/>
                <w:szCs w:val="18"/>
              </w:rPr>
            </w:pPr>
            <w:r w:rsidRPr="002513B4">
              <w:rPr>
                <w:sz w:val="18"/>
                <w:szCs w:val="18"/>
              </w:rPr>
              <w:t>Q3, Q4, Q5, Q10, Q12, Q13, and Q14</w:t>
            </w:r>
          </w:p>
        </w:tc>
        <w:tc>
          <w:tcPr>
            <w:tcW w:w="4172" w:type="dxa"/>
          </w:tcPr>
          <w:p w14:paraId="169068F8" w14:textId="6F62983E" w:rsidR="00EE74F9" w:rsidRPr="002513B4" w:rsidRDefault="00EE74F9" w:rsidP="00C553FE">
            <w:pPr>
              <w:pStyle w:val="TableText"/>
              <w:keepNext/>
              <w:spacing w:before="10" w:after="10"/>
              <w:rPr>
                <w:sz w:val="18"/>
                <w:szCs w:val="18"/>
              </w:rPr>
            </w:pPr>
            <w:r w:rsidRPr="002513B4">
              <w:rPr>
                <w:sz w:val="18"/>
                <w:szCs w:val="18"/>
              </w:rPr>
              <w:t>Did the home health team discuss medicines, pain, and home safety with patients</w:t>
            </w:r>
          </w:p>
        </w:tc>
      </w:tr>
      <w:tr w:rsidR="00EE74F9" w:rsidRPr="002513B4" w14:paraId="1FE1AFC9" w14:textId="77777777" w:rsidTr="00C553FE">
        <w:trPr>
          <w:cantSplit/>
        </w:trPr>
        <w:tc>
          <w:tcPr>
            <w:tcW w:w="2488" w:type="dxa"/>
          </w:tcPr>
          <w:p w14:paraId="523A010D" w14:textId="77777777" w:rsidR="00EE74F9" w:rsidRPr="002513B4" w:rsidRDefault="00EE74F9" w:rsidP="00C553FE">
            <w:pPr>
              <w:pStyle w:val="TableText"/>
              <w:keepNext/>
              <w:spacing w:before="10" w:after="10"/>
              <w:rPr>
                <w:sz w:val="18"/>
                <w:szCs w:val="18"/>
              </w:rPr>
            </w:pPr>
            <w:r w:rsidRPr="002513B4">
              <w:rPr>
                <w:sz w:val="18"/>
                <w:szCs w:val="18"/>
              </w:rPr>
              <w:t>Overall rating of care</w:t>
            </w:r>
          </w:p>
        </w:tc>
        <w:tc>
          <w:tcPr>
            <w:tcW w:w="2700" w:type="dxa"/>
          </w:tcPr>
          <w:p w14:paraId="16473135" w14:textId="6258F9DD" w:rsidR="00EE74F9" w:rsidRPr="002513B4" w:rsidRDefault="00EE74F9" w:rsidP="00C553FE">
            <w:pPr>
              <w:pStyle w:val="TableText"/>
              <w:keepNext/>
              <w:spacing w:before="10" w:after="10"/>
              <w:rPr>
                <w:sz w:val="18"/>
                <w:szCs w:val="18"/>
              </w:rPr>
            </w:pPr>
            <w:r w:rsidRPr="002513B4">
              <w:rPr>
                <w:sz w:val="18"/>
                <w:szCs w:val="18"/>
              </w:rPr>
              <w:t>Q20</w:t>
            </w:r>
          </w:p>
        </w:tc>
        <w:tc>
          <w:tcPr>
            <w:tcW w:w="4172" w:type="dxa"/>
          </w:tcPr>
          <w:p w14:paraId="44377DCB" w14:textId="77777777" w:rsidR="00EE74F9" w:rsidRPr="002513B4" w:rsidRDefault="00EE74F9" w:rsidP="00C553FE">
            <w:pPr>
              <w:pStyle w:val="TableText"/>
              <w:keepNext/>
              <w:spacing w:before="10" w:after="10"/>
              <w:rPr>
                <w:sz w:val="18"/>
                <w:szCs w:val="18"/>
              </w:rPr>
            </w:pPr>
            <w:r w:rsidRPr="002513B4">
              <w:rPr>
                <w:sz w:val="18"/>
                <w:szCs w:val="18"/>
              </w:rPr>
              <w:t>How do patients rate the overall care from the home health agency</w:t>
            </w:r>
          </w:p>
        </w:tc>
      </w:tr>
      <w:tr w:rsidR="00EE74F9" w:rsidRPr="002513B4" w14:paraId="0C9FA711" w14:textId="77777777" w:rsidTr="00C553FE">
        <w:trPr>
          <w:cantSplit/>
        </w:trPr>
        <w:tc>
          <w:tcPr>
            <w:tcW w:w="2488" w:type="dxa"/>
          </w:tcPr>
          <w:p w14:paraId="30218019" w14:textId="77777777" w:rsidR="00EE74F9" w:rsidRPr="002513B4" w:rsidRDefault="00EE74F9" w:rsidP="00C553FE">
            <w:pPr>
              <w:pStyle w:val="TableText"/>
              <w:keepNext/>
              <w:spacing w:before="10" w:after="10"/>
              <w:rPr>
                <w:sz w:val="18"/>
                <w:szCs w:val="18"/>
              </w:rPr>
            </w:pPr>
            <w:r w:rsidRPr="002513B4">
              <w:rPr>
                <w:sz w:val="18"/>
                <w:szCs w:val="18"/>
              </w:rPr>
              <w:t>Patient willingness to recommend HHA to family or friends</w:t>
            </w:r>
          </w:p>
        </w:tc>
        <w:tc>
          <w:tcPr>
            <w:tcW w:w="2700" w:type="dxa"/>
          </w:tcPr>
          <w:p w14:paraId="103BFCE7" w14:textId="0A767D89" w:rsidR="00EE74F9" w:rsidRPr="002513B4" w:rsidRDefault="00EE74F9" w:rsidP="00C553FE">
            <w:pPr>
              <w:pStyle w:val="TableText"/>
              <w:keepNext/>
              <w:spacing w:before="10" w:after="10"/>
              <w:rPr>
                <w:sz w:val="18"/>
                <w:szCs w:val="18"/>
              </w:rPr>
            </w:pPr>
            <w:r w:rsidRPr="002513B4">
              <w:rPr>
                <w:sz w:val="18"/>
                <w:szCs w:val="18"/>
              </w:rPr>
              <w:t>Q25</w:t>
            </w:r>
          </w:p>
        </w:tc>
        <w:tc>
          <w:tcPr>
            <w:tcW w:w="4172" w:type="dxa"/>
          </w:tcPr>
          <w:p w14:paraId="6861D7C6" w14:textId="77777777" w:rsidR="00EE74F9" w:rsidRPr="002513B4" w:rsidRDefault="00EE74F9" w:rsidP="00C553FE">
            <w:pPr>
              <w:pStyle w:val="TableText"/>
              <w:keepNext/>
              <w:spacing w:before="10" w:after="10"/>
              <w:rPr>
                <w:sz w:val="18"/>
                <w:szCs w:val="18"/>
              </w:rPr>
            </w:pPr>
            <w:r w:rsidRPr="002513B4">
              <w:rPr>
                <w:sz w:val="18"/>
                <w:szCs w:val="18"/>
              </w:rPr>
              <w:t>Would patients recommend the home health agency to friends and family</w:t>
            </w:r>
          </w:p>
        </w:tc>
      </w:tr>
    </w:tbl>
    <w:p w14:paraId="5E41BD8E" w14:textId="77777777" w:rsidR="00762F6E" w:rsidRPr="002513B4" w:rsidRDefault="00762F6E" w:rsidP="00762F6E">
      <w:bookmarkStart w:id="455" w:name="_Toc24713407"/>
      <w:bookmarkStart w:id="456" w:name="_Toc407633129"/>
      <w:bookmarkEnd w:id="454"/>
    </w:p>
    <w:p w14:paraId="13F0F75E" w14:textId="48A432E8" w:rsidR="00EE74F9" w:rsidRPr="002513B4" w:rsidRDefault="00407A1E" w:rsidP="00EE74F9">
      <w:pPr>
        <w:pStyle w:val="Heading3"/>
        <w:rPr>
          <w:lang w:val="en-US"/>
        </w:rPr>
      </w:pPr>
      <w:bookmarkStart w:id="457" w:name="_Toc217305638"/>
      <w:r w:rsidRPr="002513B4">
        <w:rPr>
          <w:lang w:val="en-US"/>
        </w:rPr>
        <w:t>13.</w:t>
      </w:r>
      <w:r w:rsidR="00C86598" w:rsidRPr="002513B4">
        <w:rPr>
          <w:lang w:val="en-US"/>
        </w:rPr>
        <w:t>5</w:t>
      </w:r>
      <w:r w:rsidRPr="002513B4">
        <w:rPr>
          <w:lang w:val="en-US"/>
        </w:rPr>
        <w:tab/>
      </w:r>
      <w:r w:rsidR="00EE74F9" w:rsidRPr="002513B4">
        <w:rPr>
          <w:lang w:val="en-US"/>
        </w:rPr>
        <w:t>Star Ratings</w:t>
      </w:r>
      <w:bookmarkEnd w:id="455"/>
      <w:bookmarkEnd w:id="457"/>
    </w:p>
    <w:p w14:paraId="1E4E987C" w14:textId="74CEE1B0" w:rsidR="00913488" w:rsidRPr="002513B4" w:rsidRDefault="00AE2EB6" w:rsidP="00EE74F9">
      <w:pPr>
        <w:pStyle w:val="BodyText"/>
        <w:rPr>
          <w:lang w:val="en-US"/>
        </w:rPr>
      </w:pPr>
      <w:r w:rsidRPr="002513B4">
        <w:rPr>
          <w:szCs w:val="24"/>
          <w:lang w:val="en-US"/>
        </w:rPr>
        <w:t xml:space="preserve">Should </w:t>
      </w:r>
      <w:r w:rsidR="00EE74F9" w:rsidRPr="002513B4">
        <w:rPr>
          <w:szCs w:val="24"/>
          <w:lang w:val="en-US"/>
        </w:rPr>
        <w:t>Five</w:t>
      </w:r>
      <w:r w:rsidR="00EE74F9" w:rsidRPr="002513B4">
        <w:rPr>
          <w:spacing w:val="1"/>
          <w:szCs w:val="24"/>
          <w:lang w:val="en-US"/>
        </w:rPr>
        <w:t xml:space="preserve"> </w:t>
      </w:r>
      <w:r w:rsidR="00EE74F9" w:rsidRPr="002513B4">
        <w:rPr>
          <w:szCs w:val="24"/>
          <w:lang w:val="en-US"/>
        </w:rPr>
        <w:t>HHCAHPS star</w:t>
      </w:r>
      <w:r w:rsidR="00EE74F9" w:rsidRPr="002513B4">
        <w:rPr>
          <w:spacing w:val="-2"/>
          <w:szCs w:val="24"/>
          <w:lang w:val="en-US"/>
        </w:rPr>
        <w:t xml:space="preserve"> </w:t>
      </w:r>
      <w:r w:rsidR="00EE74F9" w:rsidRPr="002513B4">
        <w:rPr>
          <w:szCs w:val="24"/>
          <w:lang w:val="en-US"/>
        </w:rPr>
        <w:t>ratings were reported</w:t>
      </w:r>
      <w:r w:rsidR="00EE74F9" w:rsidRPr="002513B4">
        <w:rPr>
          <w:spacing w:val="-2"/>
          <w:szCs w:val="24"/>
          <w:lang w:val="en-US"/>
        </w:rPr>
        <w:t xml:space="preserve"> </w:t>
      </w:r>
      <w:r w:rsidR="00EE74F9" w:rsidRPr="002513B4">
        <w:rPr>
          <w:szCs w:val="24"/>
          <w:lang w:val="en-US"/>
        </w:rPr>
        <w:t>on Medicare’s Home Health</w:t>
      </w:r>
      <w:r w:rsidR="00EE74F9" w:rsidRPr="002513B4">
        <w:rPr>
          <w:spacing w:val="-3"/>
          <w:szCs w:val="24"/>
          <w:lang w:val="en-US"/>
        </w:rPr>
        <w:t xml:space="preserve"> </w:t>
      </w:r>
      <w:r w:rsidR="00EE74F9" w:rsidRPr="002513B4">
        <w:rPr>
          <w:szCs w:val="24"/>
          <w:lang w:val="en-US"/>
        </w:rPr>
        <w:t>Compare website beginning with the January 2016 refresh of the publicly reported data: one</w:t>
      </w:r>
      <w:r w:rsidR="00EE74F9" w:rsidRPr="002513B4">
        <w:rPr>
          <w:spacing w:val="-2"/>
          <w:szCs w:val="24"/>
          <w:lang w:val="en-US"/>
        </w:rPr>
        <w:t xml:space="preserve"> </w:t>
      </w:r>
      <w:r w:rsidR="00EE74F9" w:rsidRPr="002513B4">
        <w:rPr>
          <w:szCs w:val="24"/>
          <w:lang w:val="en-US"/>
        </w:rPr>
        <w:t>for</w:t>
      </w:r>
      <w:r w:rsidR="00EE74F9" w:rsidRPr="002513B4">
        <w:rPr>
          <w:spacing w:val="-2"/>
          <w:szCs w:val="24"/>
          <w:lang w:val="en-US"/>
        </w:rPr>
        <w:t xml:space="preserve"> </w:t>
      </w:r>
      <w:r w:rsidR="00EE74F9" w:rsidRPr="002513B4">
        <w:rPr>
          <w:szCs w:val="24"/>
          <w:lang w:val="en-US"/>
        </w:rPr>
        <w:t>each</w:t>
      </w:r>
      <w:r w:rsidR="00EE74F9" w:rsidRPr="002513B4">
        <w:rPr>
          <w:spacing w:val="-3"/>
          <w:szCs w:val="24"/>
          <w:lang w:val="en-US"/>
        </w:rPr>
        <w:t xml:space="preserve"> </w:t>
      </w:r>
      <w:r w:rsidR="00EE74F9" w:rsidRPr="002513B4">
        <w:rPr>
          <w:szCs w:val="24"/>
          <w:lang w:val="en-US"/>
        </w:rPr>
        <w:t>of</w:t>
      </w:r>
      <w:r w:rsidR="00EE74F9" w:rsidRPr="002513B4">
        <w:rPr>
          <w:spacing w:val="-3"/>
          <w:szCs w:val="24"/>
          <w:lang w:val="en-US"/>
        </w:rPr>
        <w:t xml:space="preserve"> </w:t>
      </w:r>
      <w:r w:rsidR="00EE74F9" w:rsidRPr="002513B4">
        <w:rPr>
          <w:spacing w:val="-2"/>
          <w:szCs w:val="24"/>
          <w:lang w:val="en-US"/>
        </w:rPr>
        <w:t>the</w:t>
      </w:r>
      <w:r w:rsidR="00EE74F9" w:rsidRPr="002513B4">
        <w:rPr>
          <w:spacing w:val="1"/>
          <w:szCs w:val="24"/>
          <w:lang w:val="en-US"/>
        </w:rPr>
        <w:t xml:space="preserve"> </w:t>
      </w:r>
      <w:r w:rsidR="00EE74F9" w:rsidRPr="002513B4">
        <w:rPr>
          <w:szCs w:val="24"/>
          <w:lang w:val="en-US"/>
        </w:rPr>
        <w:t>three</w:t>
      </w:r>
      <w:r w:rsidR="00EE74F9" w:rsidRPr="002513B4">
        <w:rPr>
          <w:spacing w:val="1"/>
          <w:szCs w:val="24"/>
          <w:lang w:val="en-US"/>
        </w:rPr>
        <w:t xml:space="preserve"> </w:t>
      </w:r>
      <w:r w:rsidR="00EE74F9" w:rsidRPr="002513B4">
        <w:rPr>
          <w:szCs w:val="24"/>
          <w:lang w:val="en-US"/>
        </w:rPr>
        <w:t>publicly</w:t>
      </w:r>
      <w:r w:rsidR="00EE74F9" w:rsidRPr="002513B4">
        <w:rPr>
          <w:spacing w:val="1"/>
          <w:szCs w:val="24"/>
          <w:lang w:val="en-US"/>
        </w:rPr>
        <w:t xml:space="preserve"> </w:t>
      </w:r>
      <w:r w:rsidR="00EE74F9" w:rsidRPr="002513B4">
        <w:rPr>
          <w:szCs w:val="24"/>
          <w:lang w:val="en-US"/>
        </w:rPr>
        <w:t>reported HHCAHPS</w:t>
      </w:r>
      <w:r w:rsidR="00EE74F9" w:rsidRPr="002513B4">
        <w:rPr>
          <w:spacing w:val="49"/>
          <w:szCs w:val="24"/>
          <w:lang w:val="en-US"/>
        </w:rPr>
        <w:t xml:space="preserve"> </w:t>
      </w:r>
      <w:r w:rsidR="00EE74F9" w:rsidRPr="002513B4">
        <w:rPr>
          <w:szCs w:val="24"/>
          <w:lang w:val="en-US"/>
        </w:rPr>
        <w:t xml:space="preserve">composite measures, one for the Overall Rating of Care measure, and one Survey Summary Star, which is a simple average of the four HHCAHPS measure star ratings. </w:t>
      </w:r>
      <w:r w:rsidR="00EE74F9" w:rsidRPr="002513B4">
        <w:rPr>
          <w:lang w:val="en-US"/>
        </w:rPr>
        <w:t xml:space="preserve">With CMS’s transition to its new Care Compare website, only the Survey Summary Star is </w:t>
      </w:r>
      <w:r w:rsidR="00BD2C1E" w:rsidRPr="002513B4">
        <w:rPr>
          <w:lang w:val="en-US"/>
        </w:rPr>
        <w:t xml:space="preserve">currently </w:t>
      </w:r>
      <w:r w:rsidR="00EE74F9" w:rsidRPr="002513B4">
        <w:rPr>
          <w:lang w:val="en-US"/>
        </w:rPr>
        <w:t xml:space="preserve">being reported. CMS continues, however, to make the full set of </w:t>
      </w:r>
      <w:r w:rsidR="004F1FC0" w:rsidRPr="002513B4">
        <w:rPr>
          <w:lang w:val="en-US"/>
        </w:rPr>
        <w:t>five-star</w:t>
      </w:r>
      <w:r w:rsidR="00EE74F9" w:rsidRPr="002513B4">
        <w:rPr>
          <w:lang w:val="en-US"/>
        </w:rPr>
        <w:t xml:space="preserve"> rating measures available to the public via its </w:t>
      </w:r>
      <w:hyperlink r:id="rId154" w:history="1">
        <w:r w:rsidR="00D965E3" w:rsidRPr="002513B4">
          <w:rPr>
            <w:rStyle w:val="Hyperlink"/>
            <w:lang w:val="en-US"/>
          </w:rPr>
          <w:t>Provider Data Catalog</w:t>
        </w:r>
      </w:hyperlink>
      <w:r w:rsidR="00D965E3" w:rsidRPr="002513B4">
        <w:rPr>
          <w:lang w:val="en-US"/>
        </w:rPr>
        <w:t xml:space="preserve"> (PDC)</w:t>
      </w:r>
      <w:r w:rsidR="00EE74F9" w:rsidRPr="002513B4">
        <w:rPr>
          <w:lang w:val="en-US"/>
        </w:rPr>
        <w:t xml:space="preserve">. </w:t>
      </w:r>
    </w:p>
    <w:p w14:paraId="483C7D86" w14:textId="77777777" w:rsidR="00EE74F9" w:rsidRPr="002513B4" w:rsidRDefault="00EE74F9" w:rsidP="00EE74F9">
      <w:pPr>
        <w:pStyle w:val="BodyText"/>
        <w:rPr>
          <w:lang w:val="en-US"/>
        </w:rPr>
      </w:pPr>
      <w:r w:rsidRPr="002513B4">
        <w:rPr>
          <w:lang w:val="en-US"/>
        </w:rPr>
        <w:lastRenderedPageBreak/>
        <w:t>To receive</w:t>
      </w:r>
      <w:r w:rsidRPr="002513B4">
        <w:rPr>
          <w:spacing w:val="-2"/>
          <w:lang w:val="en-US"/>
        </w:rPr>
        <w:t xml:space="preserve"> </w:t>
      </w:r>
      <w:r w:rsidRPr="002513B4">
        <w:rPr>
          <w:lang w:val="en-US"/>
        </w:rPr>
        <w:t>HHCAHPS</w:t>
      </w:r>
      <w:r w:rsidRPr="002513B4">
        <w:rPr>
          <w:spacing w:val="-3"/>
          <w:lang w:val="en-US"/>
        </w:rPr>
        <w:t xml:space="preserve"> </w:t>
      </w:r>
      <w:r w:rsidRPr="002513B4">
        <w:rPr>
          <w:lang w:val="en-US"/>
        </w:rPr>
        <w:t>star ratings,</w:t>
      </w:r>
      <w:r w:rsidRPr="002513B4">
        <w:rPr>
          <w:spacing w:val="-2"/>
          <w:lang w:val="en-US"/>
        </w:rPr>
        <w:t xml:space="preserve"> </w:t>
      </w:r>
      <w:r w:rsidRPr="002513B4">
        <w:rPr>
          <w:lang w:val="en-US"/>
        </w:rPr>
        <w:t>home health agencies</w:t>
      </w:r>
      <w:r w:rsidRPr="002513B4">
        <w:rPr>
          <w:spacing w:val="-2"/>
          <w:lang w:val="en-US"/>
        </w:rPr>
        <w:t xml:space="preserve"> </w:t>
      </w:r>
      <w:r w:rsidRPr="002513B4">
        <w:rPr>
          <w:lang w:val="en-US"/>
        </w:rPr>
        <w:t>must</w:t>
      </w:r>
      <w:r w:rsidRPr="002513B4">
        <w:rPr>
          <w:spacing w:val="1"/>
          <w:lang w:val="en-US"/>
        </w:rPr>
        <w:t xml:space="preserve"> </w:t>
      </w:r>
      <w:r w:rsidRPr="002513B4">
        <w:rPr>
          <w:lang w:val="en-US"/>
        </w:rPr>
        <w:t>have</w:t>
      </w:r>
      <w:r w:rsidRPr="002513B4">
        <w:rPr>
          <w:spacing w:val="-2"/>
          <w:lang w:val="en-US"/>
        </w:rPr>
        <w:t xml:space="preserve"> </w:t>
      </w:r>
      <w:r w:rsidRPr="002513B4">
        <w:rPr>
          <w:lang w:val="en-US"/>
        </w:rPr>
        <w:t>at</w:t>
      </w:r>
      <w:r w:rsidRPr="002513B4">
        <w:rPr>
          <w:spacing w:val="1"/>
          <w:lang w:val="en-US"/>
        </w:rPr>
        <w:t xml:space="preserve"> </w:t>
      </w:r>
      <w:r w:rsidRPr="002513B4">
        <w:rPr>
          <w:lang w:val="en-US"/>
        </w:rPr>
        <w:t>least</w:t>
      </w:r>
      <w:r w:rsidRPr="002513B4">
        <w:rPr>
          <w:spacing w:val="-2"/>
          <w:lang w:val="en-US"/>
        </w:rPr>
        <w:t xml:space="preserve"> </w:t>
      </w:r>
      <w:r w:rsidRPr="002513B4">
        <w:rPr>
          <w:lang w:val="en-US"/>
        </w:rPr>
        <w:t xml:space="preserve">40 completed HHCAHPS </w:t>
      </w:r>
      <w:r w:rsidR="00BD2C1E" w:rsidRPr="002513B4">
        <w:rPr>
          <w:lang w:val="en-US"/>
        </w:rPr>
        <w:t>S</w:t>
      </w:r>
      <w:r w:rsidRPr="002513B4">
        <w:rPr>
          <w:lang w:val="en-US"/>
        </w:rPr>
        <w:t>urveys over</w:t>
      </w:r>
      <w:r w:rsidRPr="002513B4">
        <w:rPr>
          <w:spacing w:val="-2"/>
          <w:lang w:val="en-US"/>
        </w:rPr>
        <w:t xml:space="preserve"> </w:t>
      </w:r>
      <w:r w:rsidRPr="002513B4">
        <w:rPr>
          <w:lang w:val="en-US"/>
        </w:rPr>
        <w:t>the publicly reported four-quarter period. HHAs with fewer</w:t>
      </w:r>
      <w:r w:rsidRPr="002513B4">
        <w:rPr>
          <w:spacing w:val="65"/>
          <w:lang w:val="en-US"/>
        </w:rPr>
        <w:t xml:space="preserve"> </w:t>
      </w:r>
      <w:r w:rsidRPr="002513B4">
        <w:rPr>
          <w:lang w:val="en-US"/>
        </w:rPr>
        <w:t>than 40</w:t>
      </w:r>
      <w:r w:rsidRPr="002513B4">
        <w:rPr>
          <w:spacing w:val="1"/>
          <w:lang w:val="en-US"/>
        </w:rPr>
        <w:t xml:space="preserve"> </w:t>
      </w:r>
      <w:r w:rsidRPr="002513B4">
        <w:rPr>
          <w:lang w:val="en-US"/>
        </w:rPr>
        <w:t>completed surveys</w:t>
      </w:r>
      <w:r w:rsidRPr="002513B4">
        <w:rPr>
          <w:spacing w:val="-2"/>
          <w:lang w:val="en-US"/>
        </w:rPr>
        <w:t xml:space="preserve"> </w:t>
      </w:r>
      <w:r w:rsidRPr="002513B4">
        <w:rPr>
          <w:lang w:val="en-US"/>
        </w:rPr>
        <w:t>will not</w:t>
      </w:r>
      <w:r w:rsidRPr="002513B4">
        <w:rPr>
          <w:spacing w:val="1"/>
          <w:lang w:val="en-US"/>
        </w:rPr>
        <w:t xml:space="preserve"> </w:t>
      </w:r>
      <w:r w:rsidRPr="002513B4">
        <w:rPr>
          <w:lang w:val="en-US"/>
        </w:rPr>
        <w:t>receive</w:t>
      </w:r>
      <w:r w:rsidRPr="002513B4">
        <w:rPr>
          <w:spacing w:val="-2"/>
          <w:lang w:val="en-US"/>
        </w:rPr>
        <w:t xml:space="preserve"> </w:t>
      </w:r>
      <w:r w:rsidRPr="002513B4">
        <w:rPr>
          <w:lang w:val="en-US"/>
        </w:rPr>
        <w:t>star</w:t>
      </w:r>
      <w:r w:rsidRPr="002513B4">
        <w:rPr>
          <w:spacing w:val="1"/>
          <w:lang w:val="en-US"/>
        </w:rPr>
        <w:t xml:space="preserve"> </w:t>
      </w:r>
      <w:r w:rsidRPr="002513B4">
        <w:rPr>
          <w:lang w:val="en-US"/>
        </w:rPr>
        <w:t>ratings; however,</w:t>
      </w:r>
      <w:r w:rsidRPr="002513B4">
        <w:rPr>
          <w:spacing w:val="-2"/>
          <w:lang w:val="en-US"/>
        </w:rPr>
        <w:t xml:space="preserve"> </w:t>
      </w:r>
      <w:r w:rsidRPr="002513B4">
        <w:rPr>
          <w:lang w:val="en-US"/>
        </w:rPr>
        <w:t>their individual</w:t>
      </w:r>
      <w:r w:rsidRPr="002513B4">
        <w:rPr>
          <w:spacing w:val="-2"/>
          <w:lang w:val="en-US"/>
        </w:rPr>
        <w:t xml:space="preserve"> </w:t>
      </w:r>
      <w:r w:rsidRPr="002513B4">
        <w:rPr>
          <w:lang w:val="en-US"/>
        </w:rPr>
        <w:t>HHCAHPS</w:t>
      </w:r>
      <w:r w:rsidRPr="002513B4">
        <w:rPr>
          <w:spacing w:val="-3"/>
          <w:lang w:val="en-US"/>
        </w:rPr>
        <w:t xml:space="preserve"> </w:t>
      </w:r>
      <w:r w:rsidRPr="002513B4">
        <w:rPr>
          <w:lang w:val="en-US"/>
        </w:rPr>
        <w:t>measure</w:t>
      </w:r>
      <w:r w:rsidRPr="002513B4">
        <w:rPr>
          <w:spacing w:val="1"/>
          <w:lang w:val="en-US"/>
        </w:rPr>
        <w:t xml:space="preserve"> </w:t>
      </w:r>
      <w:r w:rsidRPr="002513B4">
        <w:rPr>
          <w:lang w:val="en-US"/>
        </w:rPr>
        <w:t>scores</w:t>
      </w:r>
      <w:r w:rsidRPr="002513B4">
        <w:rPr>
          <w:spacing w:val="-2"/>
          <w:lang w:val="en-US"/>
        </w:rPr>
        <w:t xml:space="preserve"> </w:t>
      </w:r>
      <w:r w:rsidRPr="002513B4">
        <w:rPr>
          <w:lang w:val="en-US"/>
        </w:rPr>
        <w:t>will still be</w:t>
      </w:r>
      <w:r w:rsidRPr="002513B4">
        <w:rPr>
          <w:spacing w:val="55"/>
          <w:lang w:val="en-US"/>
        </w:rPr>
        <w:t xml:space="preserve"> </w:t>
      </w:r>
      <w:r w:rsidRPr="002513B4">
        <w:rPr>
          <w:lang w:val="en-US"/>
        </w:rPr>
        <w:t>publicly</w:t>
      </w:r>
      <w:r w:rsidRPr="002513B4">
        <w:rPr>
          <w:spacing w:val="1"/>
          <w:lang w:val="en-US"/>
        </w:rPr>
        <w:t xml:space="preserve"> </w:t>
      </w:r>
      <w:r w:rsidRPr="002513B4">
        <w:rPr>
          <w:lang w:val="en-US"/>
        </w:rPr>
        <w:t>reported</w:t>
      </w:r>
      <w:r w:rsidRPr="002513B4">
        <w:rPr>
          <w:spacing w:val="-3"/>
          <w:lang w:val="en-US"/>
        </w:rPr>
        <w:t xml:space="preserve"> </w:t>
      </w:r>
      <w:proofErr w:type="gramStart"/>
      <w:r w:rsidRPr="002513B4">
        <w:rPr>
          <w:lang w:val="en-US"/>
        </w:rPr>
        <w:t>as long as</w:t>
      </w:r>
      <w:proofErr w:type="gramEnd"/>
      <w:r w:rsidRPr="002513B4">
        <w:rPr>
          <w:lang w:val="en-US"/>
        </w:rPr>
        <w:t xml:space="preserve"> they are eligible to be reported during that time period (i.e., the agency has 12 months of HHCAHPS Survey data). More information on how the star ratings </w:t>
      </w:r>
      <w:proofErr w:type="gramStart"/>
      <w:r w:rsidRPr="002513B4">
        <w:rPr>
          <w:lang w:val="en-US"/>
        </w:rPr>
        <w:t>are</w:t>
      </w:r>
      <w:proofErr w:type="gramEnd"/>
      <w:r w:rsidRPr="002513B4">
        <w:rPr>
          <w:lang w:val="en-US"/>
        </w:rPr>
        <w:t xml:space="preserve"> calculated can be found on the HHCAHPS website.</w:t>
      </w:r>
    </w:p>
    <w:p w14:paraId="53A86B86" w14:textId="417A8268" w:rsidR="00EE74F9" w:rsidRPr="002513B4" w:rsidRDefault="00407A1E" w:rsidP="00EE74F9">
      <w:pPr>
        <w:pStyle w:val="Heading3"/>
        <w:rPr>
          <w:lang w:val="en-US"/>
        </w:rPr>
      </w:pPr>
      <w:bookmarkStart w:id="458" w:name="_Toc24713408"/>
      <w:bookmarkStart w:id="459" w:name="_Toc217305639"/>
      <w:r w:rsidRPr="002513B4">
        <w:rPr>
          <w:lang w:val="en-US"/>
        </w:rPr>
        <w:t>13.</w:t>
      </w:r>
      <w:r w:rsidR="00480B66" w:rsidRPr="002513B4">
        <w:rPr>
          <w:lang w:val="en-US"/>
        </w:rPr>
        <w:t>6</w:t>
      </w:r>
      <w:r w:rsidRPr="002513B4">
        <w:rPr>
          <w:lang w:val="en-US"/>
        </w:rPr>
        <w:tab/>
      </w:r>
      <w:r w:rsidR="00EE74F9" w:rsidRPr="002513B4">
        <w:rPr>
          <w:lang w:val="en-US"/>
        </w:rPr>
        <w:t>Agency Preview Reports</w:t>
      </w:r>
      <w:bookmarkEnd w:id="456"/>
      <w:bookmarkEnd w:id="458"/>
      <w:bookmarkEnd w:id="459"/>
    </w:p>
    <w:p w14:paraId="7F31D874" w14:textId="77777777" w:rsidR="00EE74F9" w:rsidRPr="002513B4" w:rsidRDefault="00EE74F9" w:rsidP="00EE74F9">
      <w:pPr>
        <w:pStyle w:val="BodyText"/>
        <w:rPr>
          <w:lang w:val="en-US"/>
        </w:rPr>
      </w:pPr>
      <w:r w:rsidRPr="002513B4">
        <w:rPr>
          <w:lang w:val="en-US"/>
        </w:rPr>
        <w:t xml:space="preserve">Prior to publishing the results on Medicare’s Care Compare website and on the accompanying PDC. CMS makes a </w:t>
      </w:r>
      <w:r w:rsidR="00BD2C1E" w:rsidRPr="002513B4">
        <w:rPr>
          <w:lang w:val="en-US"/>
        </w:rPr>
        <w:t>P</w:t>
      </w:r>
      <w:r w:rsidRPr="002513B4">
        <w:rPr>
          <w:lang w:val="en-US"/>
        </w:rPr>
        <w:t xml:space="preserve">review </w:t>
      </w:r>
      <w:r w:rsidR="00BD2C1E" w:rsidRPr="002513B4">
        <w:rPr>
          <w:lang w:val="en-US"/>
        </w:rPr>
        <w:t>R</w:t>
      </w:r>
      <w:r w:rsidRPr="002513B4">
        <w:rPr>
          <w:lang w:val="en-US"/>
        </w:rPr>
        <w:t xml:space="preserve">eport available on the HHCAHPS website so that each HHA can review the results that will be publicly reported, including star ratings, if applicable. HHCAHPS Survey data were publicly reported for the first time in April 2012, based on survey results from data collected for the sample months October 2010 through September 2011. Star ratings were publicly reported for the first time in January 2016. Each subsequent quarterly public reporting period includes survey results from data collected for the prior 12 months, as the oldest quarter’s data are </w:t>
      </w:r>
      <w:proofErr w:type="gramStart"/>
      <w:r w:rsidRPr="002513B4">
        <w:rPr>
          <w:lang w:val="en-US"/>
        </w:rPr>
        <w:t>dropped</w:t>
      </w:r>
      <w:proofErr w:type="gramEnd"/>
      <w:r w:rsidRPr="002513B4">
        <w:rPr>
          <w:lang w:val="en-US"/>
        </w:rPr>
        <w:t xml:space="preserve"> and the newest quarter’s data are added.</w:t>
      </w:r>
    </w:p>
    <w:p w14:paraId="3649E61C" w14:textId="58F5DF61" w:rsidR="00EE74F9" w:rsidRPr="002513B4" w:rsidRDefault="00407A1E" w:rsidP="00EE74F9">
      <w:pPr>
        <w:pStyle w:val="Heading3"/>
        <w:rPr>
          <w:lang w:val="en-US"/>
        </w:rPr>
      </w:pPr>
      <w:bookmarkStart w:id="460" w:name="_Toc407633130"/>
      <w:bookmarkStart w:id="461" w:name="_Toc24713409"/>
      <w:bookmarkStart w:id="462" w:name="_Toc217305640"/>
      <w:r w:rsidRPr="002513B4">
        <w:rPr>
          <w:lang w:val="en-US"/>
        </w:rPr>
        <w:t>13.</w:t>
      </w:r>
      <w:r w:rsidR="00480B66" w:rsidRPr="002513B4">
        <w:rPr>
          <w:lang w:val="en-US"/>
        </w:rPr>
        <w:t>7</w:t>
      </w:r>
      <w:r w:rsidRPr="002513B4">
        <w:rPr>
          <w:lang w:val="en-US"/>
        </w:rPr>
        <w:tab/>
      </w:r>
      <w:r w:rsidR="00EE74F9" w:rsidRPr="002513B4">
        <w:rPr>
          <w:lang w:val="en-US"/>
        </w:rPr>
        <w:t>Public Reporting Periods</w:t>
      </w:r>
      <w:bookmarkEnd w:id="460"/>
      <w:bookmarkEnd w:id="461"/>
      <w:bookmarkEnd w:id="462"/>
    </w:p>
    <w:p w14:paraId="4C0D7F56" w14:textId="22101D59" w:rsidR="00EE74F9" w:rsidRPr="002513B4" w:rsidRDefault="00EE74F9" w:rsidP="00EE74F9">
      <w:pPr>
        <w:pStyle w:val="BodyText"/>
        <w:rPr>
          <w:lang w:val="en-US"/>
        </w:rPr>
      </w:pPr>
      <w:r w:rsidRPr="002513B4">
        <w:rPr>
          <w:b/>
          <w:bCs/>
          <w:i/>
          <w:iCs/>
          <w:lang w:val="en-US"/>
        </w:rPr>
        <w:t>Table 13.2</w:t>
      </w:r>
      <w:r w:rsidRPr="002513B4">
        <w:rPr>
          <w:lang w:val="en-US"/>
        </w:rPr>
        <w:t xml:space="preserve"> shows the quarters included in each Public Reporting period during </w:t>
      </w:r>
      <w:r w:rsidR="00071C89" w:rsidRPr="002513B4">
        <w:rPr>
          <w:lang w:val="en-US"/>
        </w:rPr>
        <w:t>CY202</w:t>
      </w:r>
      <w:r w:rsidR="00671B92" w:rsidRPr="002513B4">
        <w:rPr>
          <w:lang w:val="en-US"/>
        </w:rPr>
        <w:t>6</w:t>
      </w:r>
      <w:r w:rsidRPr="002513B4">
        <w:rPr>
          <w:lang w:val="en-US"/>
        </w:rPr>
        <w:t xml:space="preserve">. </w:t>
      </w:r>
    </w:p>
    <w:p w14:paraId="3CDAE4CD" w14:textId="602FA053" w:rsidR="00EE74F9" w:rsidRPr="002513B4" w:rsidRDefault="00EE74F9" w:rsidP="00EE74F9">
      <w:pPr>
        <w:pStyle w:val="TableCaption"/>
      </w:pPr>
      <w:bookmarkStart w:id="463" w:name="_Toc407633142"/>
      <w:bookmarkStart w:id="464" w:name="_Toc24713429"/>
      <w:bookmarkStart w:id="465" w:name="_Toc217024919"/>
      <w:r w:rsidRPr="002513B4">
        <w:t>Table 13.2</w:t>
      </w:r>
      <w:r w:rsidR="000F0DF7" w:rsidRPr="002513B4">
        <w:t xml:space="preserve"> P</w:t>
      </w:r>
      <w:r w:rsidRPr="002513B4">
        <w:t>ublic Reporting for the Home Health Care CAHPS Survey</w:t>
      </w:r>
      <w:bookmarkEnd w:id="463"/>
      <w:bookmarkEnd w:id="464"/>
      <w:bookmarkEnd w:id="46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Table 13.2 provides the public reporting dates for each quarter in calendar year 2026&#10;"/>
      </w:tblPr>
      <w:tblGrid>
        <w:gridCol w:w="2452"/>
        <w:gridCol w:w="1727"/>
        <w:gridCol w:w="1727"/>
        <w:gridCol w:w="1727"/>
        <w:gridCol w:w="1727"/>
      </w:tblGrid>
      <w:tr w:rsidR="000B0F10" w:rsidRPr="002513B4" w14:paraId="528EC4E9" w14:textId="77777777" w:rsidTr="000F0DF7">
        <w:trPr>
          <w:cantSplit/>
          <w:tblHeader/>
        </w:trPr>
        <w:tc>
          <w:tcPr>
            <w:tcW w:w="2452" w:type="dxa"/>
            <w:shd w:val="clear" w:color="auto" w:fill="1F497D"/>
            <w:noWrap/>
            <w:vAlign w:val="bottom"/>
            <w:hideMark/>
          </w:tcPr>
          <w:p w14:paraId="34886F27" w14:textId="5F42A563" w:rsidR="000B0F10" w:rsidRPr="002513B4" w:rsidRDefault="000B0F10" w:rsidP="000B0F10">
            <w:pPr>
              <w:pStyle w:val="TableHeaders"/>
              <w:rPr>
                <w:color w:val="FFFFFF" w:themeColor="background1"/>
                <w:sz w:val="18"/>
                <w:szCs w:val="18"/>
              </w:rPr>
            </w:pPr>
            <w:r w:rsidRPr="002513B4">
              <w:rPr>
                <w:color w:val="FFFFFF" w:themeColor="background1"/>
                <w:sz w:val="18"/>
                <w:szCs w:val="18"/>
              </w:rPr>
              <w:t>CY 202</w:t>
            </w:r>
            <w:r w:rsidR="00671B92" w:rsidRPr="002513B4">
              <w:rPr>
                <w:color w:val="FFFFFF" w:themeColor="background1"/>
                <w:sz w:val="18"/>
                <w:szCs w:val="18"/>
              </w:rPr>
              <w:t>6</w:t>
            </w:r>
            <w:r w:rsidRPr="002513B4">
              <w:rPr>
                <w:color w:val="FFFFFF" w:themeColor="background1"/>
                <w:sz w:val="18"/>
                <w:szCs w:val="18"/>
              </w:rPr>
              <w:t xml:space="preserve"> HHCAHPS Public Reporting Period</w:t>
            </w:r>
          </w:p>
        </w:tc>
        <w:tc>
          <w:tcPr>
            <w:tcW w:w="1727" w:type="dxa"/>
            <w:shd w:val="clear" w:color="auto" w:fill="1F497D"/>
            <w:vAlign w:val="bottom"/>
            <w:hideMark/>
          </w:tcPr>
          <w:p w14:paraId="711D0D79" w14:textId="1ACFC0CD" w:rsidR="000B0F10" w:rsidRPr="002513B4" w:rsidRDefault="000B0F10" w:rsidP="001B04B5">
            <w:pPr>
              <w:pStyle w:val="TableHeaders"/>
              <w:rPr>
                <w:color w:val="FFFFFF" w:themeColor="background1"/>
                <w:sz w:val="18"/>
                <w:szCs w:val="18"/>
              </w:rPr>
            </w:pPr>
            <w:r w:rsidRPr="002513B4">
              <w:rPr>
                <w:color w:val="FFFFFF" w:themeColor="background1"/>
                <w:sz w:val="18"/>
                <w:szCs w:val="18"/>
              </w:rPr>
              <w:t>January 202</w:t>
            </w:r>
            <w:r w:rsidR="00671B92" w:rsidRPr="002513B4">
              <w:rPr>
                <w:color w:val="FFFFFF" w:themeColor="background1"/>
                <w:sz w:val="18"/>
                <w:szCs w:val="18"/>
              </w:rPr>
              <w:t>6</w:t>
            </w:r>
          </w:p>
        </w:tc>
        <w:tc>
          <w:tcPr>
            <w:tcW w:w="1727" w:type="dxa"/>
            <w:shd w:val="clear" w:color="auto" w:fill="1F497D"/>
            <w:vAlign w:val="bottom"/>
            <w:hideMark/>
          </w:tcPr>
          <w:p w14:paraId="029AC0CA" w14:textId="2F243949" w:rsidR="000B0F10" w:rsidRPr="002513B4" w:rsidRDefault="000B0F10" w:rsidP="001B04B5">
            <w:pPr>
              <w:pStyle w:val="TableHeaders"/>
              <w:rPr>
                <w:color w:val="FFFFFF" w:themeColor="background1"/>
                <w:sz w:val="18"/>
                <w:szCs w:val="18"/>
              </w:rPr>
            </w:pPr>
            <w:r w:rsidRPr="002513B4">
              <w:rPr>
                <w:color w:val="FFFFFF" w:themeColor="background1"/>
                <w:sz w:val="18"/>
                <w:szCs w:val="18"/>
              </w:rPr>
              <w:t>April 202</w:t>
            </w:r>
            <w:r w:rsidR="00671B92" w:rsidRPr="002513B4">
              <w:rPr>
                <w:color w:val="FFFFFF" w:themeColor="background1"/>
                <w:sz w:val="18"/>
                <w:szCs w:val="18"/>
              </w:rPr>
              <w:t>6</w:t>
            </w:r>
          </w:p>
        </w:tc>
        <w:tc>
          <w:tcPr>
            <w:tcW w:w="1727" w:type="dxa"/>
            <w:shd w:val="clear" w:color="auto" w:fill="1F497D"/>
            <w:vAlign w:val="bottom"/>
            <w:hideMark/>
          </w:tcPr>
          <w:p w14:paraId="05E2B32B" w14:textId="1BB683EF" w:rsidR="000B0F10" w:rsidRPr="002513B4" w:rsidRDefault="000B0F10" w:rsidP="001B04B5">
            <w:pPr>
              <w:pStyle w:val="TableHeaders"/>
              <w:rPr>
                <w:color w:val="FFFFFF" w:themeColor="background1"/>
                <w:sz w:val="18"/>
                <w:szCs w:val="18"/>
              </w:rPr>
            </w:pPr>
            <w:r w:rsidRPr="002513B4">
              <w:rPr>
                <w:color w:val="FFFFFF" w:themeColor="background1"/>
                <w:sz w:val="18"/>
                <w:szCs w:val="18"/>
              </w:rPr>
              <w:t>July 202</w:t>
            </w:r>
            <w:r w:rsidR="00671B92" w:rsidRPr="002513B4">
              <w:rPr>
                <w:color w:val="FFFFFF" w:themeColor="background1"/>
                <w:sz w:val="18"/>
                <w:szCs w:val="18"/>
              </w:rPr>
              <w:t>6</w:t>
            </w:r>
          </w:p>
        </w:tc>
        <w:tc>
          <w:tcPr>
            <w:tcW w:w="1727" w:type="dxa"/>
            <w:shd w:val="clear" w:color="auto" w:fill="1F497D"/>
            <w:vAlign w:val="bottom"/>
          </w:tcPr>
          <w:p w14:paraId="65002B6C" w14:textId="43F01634" w:rsidR="000B0F10" w:rsidRPr="002513B4" w:rsidRDefault="000B0F10" w:rsidP="001B04B5">
            <w:pPr>
              <w:pStyle w:val="TableHeaders"/>
              <w:rPr>
                <w:color w:val="FFFFFF" w:themeColor="background1"/>
                <w:sz w:val="18"/>
                <w:szCs w:val="18"/>
              </w:rPr>
            </w:pPr>
            <w:r w:rsidRPr="002513B4">
              <w:rPr>
                <w:color w:val="FFFFFF" w:themeColor="background1"/>
                <w:sz w:val="18"/>
                <w:szCs w:val="18"/>
              </w:rPr>
              <w:t>October 202</w:t>
            </w:r>
            <w:r w:rsidR="00671B92" w:rsidRPr="002513B4">
              <w:rPr>
                <w:color w:val="FFFFFF" w:themeColor="background1"/>
                <w:sz w:val="18"/>
                <w:szCs w:val="18"/>
              </w:rPr>
              <w:t>6</w:t>
            </w:r>
          </w:p>
        </w:tc>
      </w:tr>
      <w:tr w:rsidR="00EE74F9" w:rsidRPr="002513B4" w14:paraId="69DBEC75" w14:textId="77777777" w:rsidTr="001B04B5">
        <w:trPr>
          <w:cantSplit/>
        </w:trPr>
        <w:tc>
          <w:tcPr>
            <w:tcW w:w="2452" w:type="dxa"/>
            <w:noWrap/>
            <w:hideMark/>
          </w:tcPr>
          <w:p w14:paraId="4A2504C6" w14:textId="77777777" w:rsidR="00EE74F9" w:rsidRPr="002513B4" w:rsidRDefault="00EE74F9" w:rsidP="00C553FE">
            <w:pPr>
              <w:pStyle w:val="TableText"/>
              <w:keepNext/>
              <w:rPr>
                <w:sz w:val="18"/>
                <w:szCs w:val="18"/>
              </w:rPr>
            </w:pPr>
            <w:r w:rsidRPr="002513B4">
              <w:rPr>
                <w:sz w:val="18"/>
                <w:szCs w:val="18"/>
              </w:rPr>
              <w:t>Results represent patients who received skilled home care</w:t>
            </w:r>
          </w:p>
        </w:tc>
        <w:tc>
          <w:tcPr>
            <w:tcW w:w="1727" w:type="dxa"/>
            <w:hideMark/>
          </w:tcPr>
          <w:p w14:paraId="0934E983" w14:textId="0640B4C5" w:rsidR="00EE74F9" w:rsidRPr="002513B4" w:rsidRDefault="00C13008" w:rsidP="00C553FE">
            <w:pPr>
              <w:pStyle w:val="TableText"/>
              <w:keepNext/>
              <w:jc w:val="center"/>
              <w:rPr>
                <w:sz w:val="18"/>
                <w:szCs w:val="18"/>
              </w:rPr>
            </w:pPr>
            <w:r w:rsidRPr="002513B4">
              <w:rPr>
                <w:sz w:val="18"/>
                <w:szCs w:val="18"/>
              </w:rPr>
              <w:t xml:space="preserve">July </w:t>
            </w:r>
            <w:r w:rsidR="00071C89" w:rsidRPr="002513B4">
              <w:rPr>
                <w:sz w:val="18"/>
                <w:szCs w:val="18"/>
              </w:rPr>
              <w:t>202</w:t>
            </w:r>
            <w:r w:rsidR="00671B92" w:rsidRPr="002513B4">
              <w:rPr>
                <w:sz w:val="18"/>
                <w:szCs w:val="18"/>
              </w:rPr>
              <w:t>4</w:t>
            </w:r>
            <w:r w:rsidR="00EE74F9" w:rsidRPr="002513B4">
              <w:rPr>
                <w:sz w:val="18"/>
                <w:szCs w:val="18"/>
              </w:rPr>
              <w:t>–</w:t>
            </w:r>
            <w:r w:rsidRPr="002513B4">
              <w:rPr>
                <w:sz w:val="18"/>
                <w:szCs w:val="18"/>
              </w:rPr>
              <w:t xml:space="preserve">June </w:t>
            </w:r>
            <w:r w:rsidR="00071C89" w:rsidRPr="002513B4">
              <w:rPr>
                <w:sz w:val="18"/>
                <w:szCs w:val="18"/>
              </w:rPr>
              <w:t>202</w:t>
            </w:r>
            <w:r w:rsidR="00671B92" w:rsidRPr="002513B4">
              <w:rPr>
                <w:sz w:val="18"/>
                <w:szCs w:val="18"/>
              </w:rPr>
              <w:t>5</w:t>
            </w:r>
          </w:p>
        </w:tc>
        <w:tc>
          <w:tcPr>
            <w:tcW w:w="1727" w:type="dxa"/>
            <w:hideMark/>
          </w:tcPr>
          <w:p w14:paraId="4DEF084D" w14:textId="37C03E57" w:rsidR="00EE74F9" w:rsidRPr="002513B4" w:rsidRDefault="00C13008" w:rsidP="00C553FE">
            <w:pPr>
              <w:pStyle w:val="TableText"/>
              <w:keepNext/>
              <w:jc w:val="center"/>
              <w:rPr>
                <w:sz w:val="18"/>
                <w:szCs w:val="18"/>
              </w:rPr>
            </w:pPr>
            <w:r w:rsidRPr="002513B4">
              <w:rPr>
                <w:sz w:val="18"/>
                <w:szCs w:val="18"/>
              </w:rPr>
              <w:t xml:space="preserve">October </w:t>
            </w:r>
            <w:r w:rsidR="00071C89" w:rsidRPr="002513B4">
              <w:rPr>
                <w:sz w:val="18"/>
                <w:szCs w:val="18"/>
              </w:rPr>
              <w:t>202</w:t>
            </w:r>
            <w:r w:rsidR="00671B92" w:rsidRPr="002513B4">
              <w:rPr>
                <w:sz w:val="18"/>
                <w:szCs w:val="18"/>
              </w:rPr>
              <w:t>4</w:t>
            </w:r>
            <w:r w:rsidR="00EE74F9" w:rsidRPr="002513B4">
              <w:rPr>
                <w:sz w:val="18"/>
                <w:szCs w:val="18"/>
              </w:rPr>
              <w:t>–</w:t>
            </w:r>
            <w:r w:rsidRPr="002513B4">
              <w:rPr>
                <w:sz w:val="18"/>
                <w:szCs w:val="18"/>
              </w:rPr>
              <w:t xml:space="preserve">September </w:t>
            </w:r>
            <w:r w:rsidR="00071C89" w:rsidRPr="002513B4">
              <w:rPr>
                <w:sz w:val="18"/>
                <w:szCs w:val="18"/>
              </w:rPr>
              <w:t>202</w:t>
            </w:r>
            <w:r w:rsidR="00671B92" w:rsidRPr="002513B4">
              <w:rPr>
                <w:sz w:val="18"/>
                <w:szCs w:val="18"/>
              </w:rPr>
              <w:t>5</w:t>
            </w:r>
          </w:p>
        </w:tc>
        <w:tc>
          <w:tcPr>
            <w:tcW w:w="1727" w:type="dxa"/>
            <w:hideMark/>
          </w:tcPr>
          <w:p w14:paraId="661E5746" w14:textId="413E8877" w:rsidR="00EE74F9" w:rsidRPr="002513B4" w:rsidRDefault="00EE74F9" w:rsidP="00C553FE">
            <w:pPr>
              <w:pStyle w:val="TableText"/>
              <w:keepNext/>
              <w:jc w:val="center"/>
              <w:rPr>
                <w:sz w:val="18"/>
                <w:szCs w:val="18"/>
              </w:rPr>
            </w:pPr>
            <w:r w:rsidRPr="002513B4">
              <w:rPr>
                <w:sz w:val="18"/>
                <w:szCs w:val="18"/>
              </w:rPr>
              <w:t xml:space="preserve">January </w:t>
            </w:r>
            <w:r w:rsidR="00071C89" w:rsidRPr="002513B4">
              <w:rPr>
                <w:sz w:val="18"/>
                <w:szCs w:val="18"/>
              </w:rPr>
              <w:t>202</w:t>
            </w:r>
            <w:r w:rsidR="00671B92" w:rsidRPr="002513B4">
              <w:rPr>
                <w:sz w:val="18"/>
                <w:szCs w:val="18"/>
              </w:rPr>
              <w:t>5</w:t>
            </w:r>
            <w:r w:rsidRPr="002513B4">
              <w:rPr>
                <w:sz w:val="18"/>
                <w:szCs w:val="18"/>
              </w:rPr>
              <w:t xml:space="preserve">–December </w:t>
            </w:r>
            <w:r w:rsidR="00071C89" w:rsidRPr="002513B4">
              <w:rPr>
                <w:sz w:val="18"/>
                <w:szCs w:val="18"/>
              </w:rPr>
              <w:t>202</w:t>
            </w:r>
            <w:r w:rsidR="00671B92" w:rsidRPr="002513B4">
              <w:rPr>
                <w:sz w:val="18"/>
                <w:szCs w:val="18"/>
              </w:rPr>
              <w:t>5</w:t>
            </w:r>
          </w:p>
        </w:tc>
        <w:tc>
          <w:tcPr>
            <w:tcW w:w="1727" w:type="dxa"/>
          </w:tcPr>
          <w:p w14:paraId="35070873" w14:textId="5F932081" w:rsidR="00EE74F9" w:rsidRPr="002513B4" w:rsidRDefault="00C13008" w:rsidP="00C553FE">
            <w:pPr>
              <w:pStyle w:val="TableText"/>
              <w:keepNext/>
              <w:jc w:val="center"/>
              <w:rPr>
                <w:sz w:val="18"/>
                <w:szCs w:val="18"/>
              </w:rPr>
            </w:pPr>
            <w:r w:rsidRPr="002513B4">
              <w:rPr>
                <w:sz w:val="18"/>
                <w:szCs w:val="18"/>
              </w:rPr>
              <w:t xml:space="preserve">April </w:t>
            </w:r>
            <w:r w:rsidR="00071C89" w:rsidRPr="002513B4">
              <w:rPr>
                <w:sz w:val="18"/>
                <w:szCs w:val="18"/>
              </w:rPr>
              <w:t>202</w:t>
            </w:r>
            <w:r w:rsidR="00671B92" w:rsidRPr="002513B4">
              <w:rPr>
                <w:sz w:val="18"/>
                <w:szCs w:val="18"/>
              </w:rPr>
              <w:t>5</w:t>
            </w:r>
            <w:r w:rsidR="00EE74F9" w:rsidRPr="002513B4">
              <w:rPr>
                <w:sz w:val="18"/>
                <w:szCs w:val="18"/>
              </w:rPr>
              <w:t>–</w:t>
            </w:r>
            <w:r w:rsidRPr="002513B4">
              <w:rPr>
                <w:sz w:val="18"/>
                <w:szCs w:val="18"/>
              </w:rPr>
              <w:t xml:space="preserve">March </w:t>
            </w:r>
            <w:r w:rsidR="00071C89" w:rsidRPr="002513B4">
              <w:rPr>
                <w:sz w:val="18"/>
                <w:szCs w:val="18"/>
              </w:rPr>
              <w:t>202</w:t>
            </w:r>
            <w:r w:rsidR="00671B92" w:rsidRPr="002513B4">
              <w:rPr>
                <w:sz w:val="18"/>
                <w:szCs w:val="18"/>
              </w:rPr>
              <w:t>6</w:t>
            </w:r>
          </w:p>
        </w:tc>
      </w:tr>
      <w:tr w:rsidR="00EE74F9" w:rsidRPr="002513B4" w14:paraId="51E54961" w14:textId="77777777" w:rsidTr="001B04B5">
        <w:trPr>
          <w:cantSplit/>
        </w:trPr>
        <w:tc>
          <w:tcPr>
            <w:tcW w:w="2452" w:type="dxa"/>
            <w:noWrap/>
            <w:hideMark/>
          </w:tcPr>
          <w:p w14:paraId="350B25B0" w14:textId="77777777" w:rsidR="00EE74F9" w:rsidRPr="002513B4" w:rsidRDefault="00EE74F9" w:rsidP="00C553FE">
            <w:pPr>
              <w:pStyle w:val="TableText"/>
              <w:keepNext/>
              <w:rPr>
                <w:sz w:val="18"/>
                <w:szCs w:val="18"/>
              </w:rPr>
            </w:pPr>
            <w:r w:rsidRPr="002513B4">
              <w:rPr>
                <w:sz w:val="18"/>
                <w:szCs w:val="18"/>
              </w:rPr>
              <w:t xml:space="preserve">Quarters that </w:t>
            </w:r>
            <w:proofErr w:type="gramStart"/>
            <w:r w:rsidRPr="002513B4">
              <w:rPr>
                <w:sz w:val="18"/>
                <w:szCs w:val="18"/>
              </w:rPr>
              <w:t>results</w:t>
            </w:r>
            <w:proofErr w:type="gramEnd"/>
            <w:r w:rsidRPr="002513B4">
              <w:rPr>
                <w:sz w:val="18"/>
                <w:szCs w:val="18"/>
              </w:rPr>
              <w:t xml:space="preserve"> represent</w:t>
            </w:r>
          </w:p>
        </w:tc>
        <w:tc>
          <w:tcPr>
            <w:tcW w:w="1727" w:type="dxa"/>
            <w:noWrap/>
            <w:hideMark/>
          </w:tcPr>
          <w:p w14:paraId="07B19AF8" w14:textId="462C9CED" w:rsidR="00EE74F9" w:rsidRPr="002513B4" w:rsidRDefault="00071C89" w:rsidP="00C553FE">
            <w:pPr>
              <w:pStyle w:val="TableText"/>
              <w:keepNext/>
              <w:jc w:val="center"/>
              <w:rPr>
                <w:sz w:val="18"/>
                <w:szCs w:val="18"/>
              </w:rPr>
            </w:pPr>
            <w:r w:rsidRPr="002513B4">
              <w:rPr>
                <w:sz w:val="18"/>
                <w:szCs w:val="18"/>
              </w:rPr>
              <w:t>CY202</w:t>
            </w:r>
            <w:r w:rsidR="00671B92" w:rsidRPr="002513B4">
              <w:rPr>
                <w:sz w:val="18"/>
                <w:szCs w:val="18"/>
              </w:rPr>
              <w:t>4</w:t>
            </w:r>
            <w:r w:rsidR="00EE74F9" w:rsidRPr="002513B4">
              <w:rPr>
                <w:sz w:val="18"/>
                <w:szCs w:val="18"/>
              </w:rPr>
              <w:t>,</w:t>
            </w:r>
            <w:r w:rsidR="003F6FF8" w:rsidRPr="002513B4">
              <w:rPr>
                <w:sz w:val="18"/>
                <w:szCs w:val="18"/>
              </w:rPr>
              <w:t>Q3</w:t>
            </w:r>
            <w:r w:rsidR="00EE74F9" w:rsidRPr="002513B4">
              <w:rPr>
                <w:sz w:val="18"/>
                <w:szCs w:val="18"/>
              </w:rPr>
              <w:t>–</w:t>
            </w:r>
            <w:r w:rsidRPr="002513B4">
              <w:rPr>
                <w:sz w:val="18"/>
                <w:szCs w:val="18"/>
              </w:rPr>
              <w:t>CY202</w:t>
            </w:r>
            <w:r w:rsidR="00671B92" w:rsidRPr="002513B4">
              <w:rPr>
                <w:sz w:val="18"/>
                <w:szCs w:val="18"/>
              </w:rPr>
              <w:t>5</w:t>
            </w:r>
            <w:r w:rsidR="00EE74F9" w:rsidRPr="002513B4">
              <w:rPr>
                <w:sz w:val="18"/>
                <w:szCs w:val="18"/>
              </w:rPr>
              <w:t>,</w:t>
            </w:r>
            <w:r w:rsidR="003F6FF8" w:rsidRPr="002513B4">
              <w:rPr>
                <w:sz w:val="18"/>
                <w:szCs w:val="18"/>
              </w:rPr>
              <w:t>Q2</w:t>
            </w:r>
          </w:p>
        </w:tc>
        <w:tc>
          <w:tcPr>
            <w:tcW w:w="1727" w:type="dxa"/>
            <w:noWrap/>
            <w:hideMark/>
          </w:tcPr>
          <w:p w14:paraId="4392E141" w14:textId="132DEB9B" w:rsidR="00EE74F9" w:rsidRPr="002513B4" w:rsidRDefault="00071C89" w:rsidP="00C553FE">
            <w:pPr>
              <w:pStyle w:val="TableText"/>
              <w:keepNext/>
              <w:jc w:val="center"/>
              <w:rPr>
                <w:sz w:val="18"/>
                <w:szCs w:val="18"/>
              </w:rPr>
            </w:pPr>
            <w:r w:rsidRPr="002513B4">
              <w:rPr>
                <w:sz w:val="18"/>
                <w:szCs w:val="18"/>
              </w:rPr>
              <w:t>CY202</w:t>
            </w:r>
            <w:r w:rsidR="00671B92" w:rsidRPr="002513B4">
              <w:rPr>
                <w:sz w:val="18"/>
                <w:szCs w:val="18"/>
              </w:rPr>
              <w:t>4</w:t>
            </w:r>
            <w:r w:rsidR="00EE74F9" w:rsidRPr="002513B4">
              <w:rPr>
                <w:sz w:val="18"/>
                <w:szCs w:val="18"/>
              </w:rPr>
              <w:t>,</w:t>
            </w:r>
            <w:r w:rsidR="003F6FF8" w:rsidRPr="002513B4">
              <w:rPr>
                <w:sz w:val="18"/>
                <w:szCs w:val="18"/>
              </w:rPr>
              <w:t>Q4</w:t>
            </w:r>
            <w:r w:rsidR="00EE74F9" w:rsidRPr="002513B4">
              <w:rPr>
                <w:sz w:val="18"/>
                <w:szCs w:val="18"/>
              </w:rPr>
              <w:t>–</w:t>
            </w:r>
            <w:r w:rsidRPr="002513B4">
              <w:rPr>
                <w:sz w:val="18"/>
                <w:szCs w:val="18"/>
              </w:rPr>
              <w:t>CY202</w:t>
            </w:r>
            <w:r w:rsidR="00671B92" w:rsidRPr="002513B4">
              <w:rPr>
                <w:sz w:val="18"/>
                <w:szCs w:val="18"/>
              </w:rPr>
              <w:t>5</w:t>
            </w:r>
            <w:r w:rsidR="00EE74F9" w:rsidRPr="002513B4">
              <w:rPr>
                <w:sz w:val="18"/>
                <w:szCs w:val="18"/>
              </w:rPr>
              <w:t>,</w:t>
            </w:r>
            <w:r w:rsidR="003F6FF8" w:rsidRPr="002513B4">
              <w:rPr>
                <w:sz w:val="18"/>
                <w:szCs w:val="18"/>
              </w:rPr>
              <w:t>Q3</w:t>
            </w:r>
          </w:p>
        </w:tc>
        <w:tc>
          <w:tcPr>
            <w:tcW w:w="1727" w:type="dxa"/>
            <w:noWrap/>
            <w:hideMark/>
          </w:tcPr>
          <w:p w14:paraId="74D84730" w14:textId="1AF1DEA7" w:rsidR="00EE74F9" w:rsidRPr="002513B4" w:rsidRDefault="00071C89" w:rsidP="00C553FE">
            <w:pPr>
              <w:pStyle w:val="TableText"/>
              <w:keepNext/>
              <w:jc w:val="center"/>
              <w:rPr>
                <w:sz w:val="18"/>
                <w:szCs w:val="18"/>
              </w:rPr>
            </w:pPr>
            <w:r w:rsidRPr="002513B4">
              <w:rPr>
                <w:sz w:val="18"/>
                <w:szCs w:val="18"/>
              </w:rPr>
              <w:t>CY202</w:t>
            </w:r>
            <w:r w:rsidR="00671B92" w:rsidRPr="002513B4">
              <w:rPr>
                <w:sz w:val="18"/>
                <w:szCs w:val="18"/>
              </w:rPr>
              <w:t>5</w:t>
            </w:r>
            <w:r w:rsidR="00EE74F9" w:rsidRPr="002513B4">
              <w:rPr>
                <w:sz w:val="18"/>
                <w:szCs w:val="18"/>
              </w:rPr>
              <w:t>,Q1–</w:t>
            </w:r>
            <w:r w:rsidRPr="002513B4">
              <w:rPr>
                <w:sz w:val="18"/>
                <w:szCs w:val="18"/>
              </w:rPr>
              <w:t>CY202</w:t>
            </w:r>
            <w:r w:rsidR="00671B92" w:rsidRPr="002513B4">
              <w:rPr>
                <w:sz w:val="18"/>
                <w:szCs w:val="18"/>
              </w:rPr>
              <w:t>5</w:t>
            </w:r>
            <w:r w:rsidR="00EE74F9" w:rsidRPr="002513B4">
              <w:rPr>
                <w:sz w:val="18"/>
                <w:szCs w:val="18"/>
              </w:rPr>
              <w:t>,Q4</w:t>
            </w:r>
          </w:p>
        </w:tc>
        <w:tc>
          <w:tcPr>
            <w:tcW w:w="1727" w:type="dxa"/>
          </w:tcPr>
          <w:p w14:paraId="282FEEB4" w14:textId="707A4BB5" w:rsidR="00EE74F9" w:rsidRPr="002513B4" w:rsidRDefault="00071C89" w:rsidP="00C553FE">
            <w:pPr>
              <w:pStyle w:val="TableText"/>
              <w:keepNext/>
              <w:jc w:val="center"/>
              <w:rPr>
                <w:sz w:val="18"/>
                <w:szCs w:val="18"/>
              </w:rPr>
            </w:pPr>
            <w:r w:rsidRPr="002513B4">
              <w:rPr>
                <w:sz w:val="18"/>
                <w:szCs w:val="18"/>
              </w:rPr>
              <w:t>CY202</w:t>
            </w:r>
            <w:r w:rsidR="00671B92" w:rsidRPr="002513B4">
              <w:rPr>
                <w:sz w:val="18"/>
                <w:szCs w:val="18"/>
              </w:rPr>
              <w:t>5</w:t>
            </w:r>
            <w:r w:rsidR="00EE74F9" w:rsidRPr="002513B4">
              <w:rPr>
                <w:sz w:val="18"/>
                <w:szCs w:val="18"/>
              </w:rPr>
              <w:t>,</w:t>
            </w:r>
            <w:r w:rsidR="003F6FF8" w:rsidRPr="002513B4">
              <w:rPr>
                <w:sz w:val="18"/>
                <w:szCs w:val="18"/>
              </w:rPr>
              <w:t>Q2</w:t>
            </w:r>
            <w:r w:rsidR="00EE74F9" w:rsidRPr="002513B4">
              <w:rPr>
                <w:sz w:val="18"/>
                <w:szCs w:val="18"/>
              </w:rPr>
              <w:t>–</w:t>
            </w:r>
            <w:r w:rsidRPr="002513B4">
              <w:rPr>
                <w:sz w:val="18"/>
                <w:szCs w:val="18"/>
              </w:rPr>
              <w:t>CY202</w:t>
            </w:r>
            <w:r w:rsidR="00671B92" w:rsidRPr="002513B4">
              <w:rPr>
                <w:sz w:val="18"/>
                <w:szCs w:val="18"/>
              </w:rPr>
              <w:t>6</w:t>
            </w:r>
            <w:r w:rsidR="00EE74F9" w:rsidRPr="002513B4">
              <w:rPr>
                <w:sz w:val="18"/>
                <w:szCs w:val="18"/>
              </w:rPr>
              <w:t>,</w:t>
            </w:r>
            <w:r w:rsidR="003F6FF8" w:rsidRPr="002513B4">
              <w:rPr>
                <w:sz w:val="18"/>
                <w:szCs w:val="18"/>
              </w:rPr>
              <w:t>Q1</w:t>
            </w:r>
          </w:p>
        </w:tc>
      </w:tr>
      <w:tr w:rsidR="00EE74F9" w:rsidRPr="002513B4" w14:paraId="7C879F50" w14:textId="77777777" w:rsidTr="001B04B5">
        <w:trPr>
          <w:cantSplit/>
        </w:trPr>
        <w:tc>
          <w:tcPr>
            <w:tcW w:w="2452" w:type="dxa"/>
            <w:noWrap/>
            <w:hideMark/>
          </w:tcPr>
          <w:p w14:paraId="643CEDD8" w14:textId="77777777" w:rsidR="00EE74F9" w:rsidRPr="002513B4" w:rsidRDefault="00EE74F9" w:rsidP="00C553FE">
            <w:pPr>
              <w:pStyle w:val="TableText"/>
              <w:rPr>
                <w:sz w:val="18"/>
                <w:szCs w:val="18"/>
              </w:rPr>
            </w:pPr>
            <w:r w:rsidRPr="002513B4">
              <w:rPr>
                <w:sz w:val="18"/>
                <w:szCs w:val="18"/>
              </w:rPr>
              <w:t>Preview reports will be posted on the HHCAHPS website</w:t>
            </w:r>
          </w:p>
        </w:tc>
        <w:tc>
          <w:tcPr>
            <w:tcW w:w="1727" w:type="dxa"/>
            <w:hideMark/>
          </w:tcPr>
          <w:p w14:paraId="107D6EFC" w14:textId="1EB75D29" w:rsidR="00EE74F9" w:rsidRPr="002513B4" w:rsidRDefault="00EE74F9" w:rsidP="00C553FE">
            <w:pPr>
              <w:pStyle w:val="TableText"/>
              <w:jc w:val="center"/>
              <w:rPr>
                <w:sz w:val="18"/>
                <w:szCs w:val="18"/>
              </w:rPr>
            </w:pPr>
            <w:r w:rsidRPr="002513B4">
              <w:rPr>
                <w:sz w:val="18"/>
                <w:szCs w:val="18"/>
              </w:rPr>
              <w:t xml:space="preserve">Preview Report was posted in </w:t>
            </w:r>
            <w:r w:rsidR="003F6FF8" w:rsidRPr="002513B4">
              <w:rPr>
                <w:sz w:val="18"/>
                <w:szCs w:val="18"/>
              </w:rPr>
              <w:t xml:space="preserve">December </w:t>
            </w:r>
            <w:r w:rsidR="00071C89" w:rsidRPr="002513B4">
              <w:rPr>
                <w:sz w:val="18"/>
                <w:szCs w:val="18"/>
              </w:rPr>
              <w:t>202</w:t>
            </w:r>
            <w:r w:rsidR="00671B92" w:rsidRPr="002513B4">
              <w:rPr>
                <w:sz w:val="18"/>
                <w:szCs w:val="18"/>
              </w:rPr>
              <w:t>5</w:t>
            </w:r>
          </w:p>
        </w:tc>
        <w:tc>
          <w:tcPr>
            <w:tcW w:w="1727" w:type="dxa"/>
            <w:hideMark/>
          </w:tcPr>
          <w:p w14:paraId="37176229" w14:textId="7B7DB1DA" w:rsidR="00EE74F9" w:rsidRPr="002513B4" w:rsidRDefault="00EE74F9" w:rsidP="00C553FE">
            <w:pPr>
              <w:pStyle w:val="TableText"/>
              <w:jc w:val="center"/>
              <w:rPr>
                <w:sz w:val="18"/>
                <w:szCs w:val="18"/>
              </w:rPr>
            </w:pPr>
            <w:r w:rsidRPr="002513B4">
              <w:rPr>
                <w:sz w:val="18"/>
                <w:szCs w:val="18"/>
              </w:rPr>
              <w:t xml:space="preserve">Preview Report </w:t>
            </w:r>
            <w:r w:rsidR="0065031D" w:rsidRPr="002513B4">
              <w:rPr>
                <w:sz w:val="18"/>
                <w:szCs w:val="18"/>
              </w:rPr>
              <w:t>will be</w:t>
            </w:r>
            <w:r w:rsidRPr="002513B4">
              <w:rPr>
                <w:sz w:val="18"/>
                <w:szCs w:val="18"/>
              </w:rPr>
              <w:t xml:space="preserve"> posted in </w:t>
            </w:r>
            <w:r w:rsidR="003F6FF8" w:rsidRPr="002513B4">
              <w:rPr>
                <w:sz w:val="18"/>
                <w:szCs w:val="18"/>
              </w:rPr>
              <w:t xml:space="preserve">March </w:t>
            </w:r>
            <w:r w:rsidR="00071C89" w:rsidRPr="002513B4">
              <w:rPr>
                <w:sz w:val="18"/>
                <w:szCs w:val="18"/>
              </w:rPr>
              <w:t>202</w:t>
            </w:r>
            <w:r w:rsidR="00671B92" w:rsidRPr="002513B4">
              <w:rPr>
                <w:sz w:val="18"/>
                <w:szCs w:val="18"/>
              </w:rPr>
              <w:t>6</w:t>
            </w:r>
          </w:p>
        </w:tc>
        <w:tc>
          <w:tcPr>
            <w:tcW w:w="1727" w:type="dxa"/>
            <w:hideMark/>
          </w:tcPr>
          <w:p w14:paraId="171D839B" w14:textId="201CEEBC" w:rsidR="00EE74F9" w:rsidRPr="002513B4" w:rsidRDefault="00EE74F9" w:rsidP="00C553FE">
            <w:pPr>
              <w:pStyle w:val="TableText"/>
              <w:jc w:val="center"/>
              <w:rPr>
                <w:sz w:val="18"/>
                <w:szCs w:val="18"/>
              </w:rPr>
            </w:pPr>
            <w:r w:rsidRPr="002513B4">
              <w:rPr>
                <w:sz w:val="18"/>
                <w:szCs w:val="18"/>
              </w:rPr>
              <w:t xml:space="preserve">Preview Report </w:t>
            </w:r>
            <w:r w:rsidR="0065031D" w:rsidRPr="002513B4">
              <w:rPr>
                <w:sz w:val="18"/>
                <w:szCs w:val="18"/>
              </w:rPr>
              <w:t xml:space="preserve">will be </w:t>
            </w:r>
            <w:r w:rsidRPr="002513B4">
              <w:rPr>
                <w:sz w:val="18"/>
                <w:szCs w:val="18"/>
              </w:rPr>
              <w:t xml:space="preserve">posted in </w:t>
            </w:r>
            <w:r w:rsidR="003F6FF8" w:rsidRPr="002513B4">
              <w:rPr>
                <w:sz w:val="18"/>
                <w:szCs w:val="18"/>
              </w:rPr>
              <w:t xml:space="preserve">June </w:t>
            </w:r>
            <w:r w:rsidR="00071C89" w:rsidRPr="002513B4">
              <w:rPr>
                <w:sz w:val="18"/>
                <w:szCs w:val="18"/>
              </w:rPr>
              <w:t>202</w:t>
            </w:r>
            <w:r w:rsidR="00671B92" w:rsidRPr="002513B4">
              <w:rPr>
                <w:sz w:val="18"/>
                <w:szCs w:val="18"/>
              </w:rPr>
              <w:t>6</w:t>
            </w:r>
          </w:p>
        </w:tc>
        <w:tc>
          <w:tcPr>
            <w:tcW w:w="1727" w:type="dxa"/>
          </w:tcPr>
          <w:p w14:paraId="624E9A70" w14:textId="10FF6390" w:rsidR="00EE74F9" w:rsidRPr="002513B4" w:rsidRDefault="00EE74F9" w:rsidP="00C553FE">
            <w:pPr>
              <w:pStyle w:val="TableText"/>
              <w:jc w:val="center"/>
              <w:rPr>
                <w:sz w:val="18"/>
                <w:szCs w:val="18"/>
              </w:rPr>
            </w:pPr>
            <w:r w:rsidRPr="002513B4">
              <w:rPr>
                <w:sz w:val="18"/>
                <w:szCs w:val="18"/>
              </w:rPr>
              <w:t xml:space="preserve">Preview Report </w:t>
            </w:r>
            <w:r w:rsidR="0065031D" w:rsidRPr="002513B4">
              <w:rPr>
                <w:sz w:val="18"/>
                <w:szCs w:val="18"/>
              </w:rPr>
              <w:t xml:space="preserve">will be </w:t>
            </w:r>
            <w:r w:rsidRPr="002513B4">
              <w:rPr>
                <w:sz w:val="18"/>
                <w:szCs w:val="18"/>
              </w:rPr>
              <w:t xml:space="preserve">posted in </w:t>
            </w:r>
            <w:r w:rsidR="003F6FF8" w:rsidRPr="002513B4">
              <w:rPr>
                <w:sz w:val="18"/>
                <w:szCs w:val="18"/>
              </w:rPr>
              <w:t xml:space="preserve">September </w:t>
            </w:r>
            <w:r w:rsidR="00071C89" w:rsidRPr="002513B4">
              <w:rPr>
                <w:sz w:val="18"/>
                <w:szCs w:val="18"/>
              </w:rPr>
              <w:t>202</w:t>
            </w:r>
            <w:r w:rsidR="00671B92" w:rsidRPr="002513B4">
              <w:rPr>
                <w:sz w:val="18"/>
                <w:szCs w:val="18"/>
              </w:rPr>
              <w:t>6</w:t>
            </w:r>
          </w:p>
        </w:tc>
      </w:tr>
    </w:tbl>
    <w:p w14:paraId="4A78BC59" w14:textId="77777777" w:rsidR="00C03165" w:rsidRDefault="00C03165" w:rsidP="00C03165">
      <w:pPr>
        <w:pStyle w:val="BodyText"/>
      </w:pPr>
      <w:bookmarkStart w:id="466" w:name="_Toc224984472"/>
      <w:bookmarkStart w:id="467" w:name="_Toc343765471"/>
      <w:bookmarkStart w:id="468" w:name="_Toc402776543"/>
    </w:p>
    <w:p w14:paraId="59FA7E1A" w14:textId="77777777" w:rsidR="00532171" w:rsidRDefault="00532171" w:rsidP="00C03165">
      <w:pPr>
        <w:pStyle w:val="BodyText"/>
        <w:sectPr w:rsidR="00532171" w:rsidSect="00467D0F">
          <w:headerReference w:type="default" r:id="rId155"/>
          <w:pgSz w:w="12240" w:h="15840" w:code="1"/>
          <w:pgMar w:top="1440" w:right="1440" w:bottom="1440" w:left="1440" w:header="720" w:footer="720" w:gutter="0"/>
          <w:cols w:space="720"/>
          <w:titlePg/>
        </w:sectPr>
      </w:pPr>
    </w:p>
    <w:p w14:paraId="4B147740" w14:textId="64ADAC50" w:rsidR="00EE74F9" w:rsidRPr="002513B4" w:rsidRDefault="009F27F5" w:rsidP="00EE74F9">
      <w:pPr>
        <w:pStyle w:val="Heading2"/>
        <w:rPr>
          <w:lang w:val="en-US"/>
        </w:rPr>
      </w:pPr>
      <w:bookmarkStart w:id="469" w:name="_Toc217305641"/>
      <w:r w:rsidRPr="002513B4">
        <w:rPr>
          <w:lang w:val="en-US"/>
        </w:rPr>
        <w:lastRenderedPageBreak/>
        <w:t>Chapter</w:t>
      </w:r>
      <w:r w:rsidR="00407A1E" w:rsidRPr="002513B4">
        <w:rPr>
          <w:lang w:val="en-US"/>
        </w:rPr>
        <w:t xml:space="preserve"> 14:</w:t>
      </w:r>
      <w:r w:rsidR="00EE74F9" w:rsidRPr="002513B4">
        <w:rPr>
          <w:lang w:val="en-US"/>
        </w:rPr>
        <w:t xml:space="preserve"> Exceptions Request Process and Discrepancy Notification Report</w:t>
      </w:r>
      <w:bookmarkEnd w:id="466"/>
      <w:bookmarkEnd w:id="467"/>
      <w:bookmarkEnd w:id="468"/>
      <w:bookmarkEnd w:id="469"/>
    </w:p>
    <w:p w14:paraId="6B2FBAB3" w14:textId="017DF70F" w:rsidR="00EE74F9" w:rsidRPr="002513B4" w:rsidRDefault="00407A1E" w:rsidP="00EE74F9">
      <w:pPr>
        <w:pStyle w:val="Heading3"/>
        <w:rPr>
          <w:lang w:val="en-US"/>
        </w:rPr>
      </w:pPr>
      <w:bookmarkStart w:id="470" w:name="_Toc251318202"/>
      <w:bookmarkStart w:id="471" w:name="_Toc407633132"/>
      <w:bookmarkStart w:id="472" w:name="_Toc24713411"/>
      <w:bookmarkStart w:id="473" w:name="_Toc217305642"/>
      <w:bookmarkEnd w:id="0"/>
      <w:bookmarkEnd w:id="1"/>
      <w:bookmarkEnd w:id="2"/>
      <w:r w:rsidRPr="002513B4">
        <w:rPr>
          <w:lang w:val="en-US"/>
        </w:rPr>
        <w:t>14.1</w:t>
      </w:r>
      <w:r w:rsidRPr="002513B4">
        <w:rPr>
          <w:lang w:val="en-US"/>
        </w:rPr>
        <w:tab/>
      </w:r>
      <w:r w:rsidR="00EE74F9" w:rsidRPr="002513B4">
        <w:rPr>
          <w:lang w:val="en-US"/>
        </w:rPr>
        <w:t>Overview</w:t>
      </w:r>
      <w:bookmarkEnd w:id="470"/>
      <w:bookmarkEnd w:id="471"/>
      <w:bookmarkEnd w:id="472"/>
      <w:bookmarkEnd w:id="473"/>
    </w:p>
    <w:p w14:paraId="211A46D0" w14:textId="77777777" w:rsidR="00EE74F9" w:rsidRPr="002513B4" w:rsidRDefault="00EE74F9" w:rsidP="00EE74F9">
      <w:pPr>
        <w:pStyle w:val="BodyText"/>
        <w:rPr>
          <w:lang w:val="en-US"/>
        </w:rPr>
      </w:pPr>
      <w:r w:rsidRPr="002513B4">
        <w:rPr>
          <w:lang w:val="en-US"/>
        </w:rPr>
        <w:t xml:space="preserve">This chapter describes the process to be used to request an exception to the HHCAHPS Survey </w:t>
      </w:r>
      <w:r w:rsidR="00006C25" w:rsidRPr="002513B4">
        <w:rPr>
          <w:lang w:val="en-US"/>
        </w:rPr>
        <w:t>p</w:t>
      </w:r>
      <w:r w:rsidRPr="002513B4">
        <w:rPr>
          <w:lang w:val="en-US"/>
        </w:rPr>
        <w:t>rotocols, including guidelines for submitting an Exceptions Request Form</w:t>
      </w:r>
      <w:r w:rsidR="00006C25" w:rsidRPr="002513B4">
        <w:rPr>
          <w:lang w:val="en-US"/>
        </w:rPr>
        <w:t xml:space="preserve"> (ERF)</w:t>
      </w:r>
      <w:r w:rsidRPr="002513B4">
        <w:rPr>
          <w:lang w:val="en-US"/>
        </w:rPr>
        <w:t>. This chapter also covers the process for alerting the HHCAHPS Survey Coordination Team of an unplanned discrepancy in the collected or submitted survey data. Vendors are expected to submit a Discrepancy Notification Report</w:t>
      </w:r>
      <w:r w:rsidR="00006C25" w:rsidRPr="002513B4">
        <w:rPr>
          <w:lang w:val="en-US"/>
        </w:rPr>
        <w:t xml:space="preserve"> (DNR)</w:t>
      </w:r>
      <w:r w:rsidRPr="002513B4">
        <w:rPr>
          <w:lang w:val="en-US"/>
        </w:rPr>
        <w:t xml:space="preserve"> whenever there has been an inadvertent or temporary deviation from the standard HHCAHPS Survey </w:t>
      </w:r>
      <w:r w:rsidR="00006C25" w:rsidRPr="002513B4">
        <w:rPr>
          <w:lang w:val="en-US"/>
        </w:rPr>
        <w:t>p</w:t>
      </w:r>
      <w:r w:rsidRPr="002513B4">
        <w:rPr>
          <w:lang w:val="en-US"/>
        </w:rPr>
        <w:t>rotocols.</w:t>
      </w:r>
    </w:p>
    <w:p w14:paraId="081B4EB1" w14:textId="32F2298D" w:rsidR="00EE74F9" w:rsidRPr="002513B4" w:rsidRDefault="00407A1E" w:rsidP="00EE74F9">
      <w:pPr>
        <w:pStyle w:val="Heading3"/>
        <w:rPr>
          <w:lang w:val="en-US"/>
        </w:rPr>
      </w:pPr>
      <w:bookmarkStart w:id="474" w:name="_Toc224984474"/>
      <w:bookmarkStart w:id="475" w:name="_Toc251318203"/>
      <w:bookmarkStart w:id="476" w:name="_Toc407633133"/>
      <w:bookmarkStart w:id="477" w:name="_Toc24713412"/>
      <w:bookmarkStart w:id="478" w:name="_Toc217305643"/>
      <w:bookmarkStart w:id="479" w:name="_Hlk120625896"/>
      <w:r w:rsidRPr="002513B4">
        <w:rPr>
          <w:lang w:val="en-US"/>
        </w:rPr>
        <w:t>14.2</w:t>
      </w:r>
      <w:r w:rsidRPr="002513B4">
        <w:rPr>
          <w:lang w:val="en-US"/>
        </w:rPr>
        <w:tab/>
      </w:r>
      <w:r w:rsidR="00EE74F9" w:rsidRPr="002513B4">
        <w:rPr>
          <w:lang w:val="en-US"/>
        </w:rPr>
        <w:t>Exceptions Request Process</w:t>
      </w:r>
      <w:bookmarkEnd w:id="474"/>
      <w:bookmarkEnd w:id="475"/>
      <w:bookmarkEnd w:id="476"/>
      <w:bookmarkEnd w:id="477"/>
      <w:bookmarkEnd w:id="478"/>
    </w:p>
    <w:p w14:paraId="1AA68776" w14:textId="5E27E08F" w:rsidR="00900E69" w:rsidRPr="002513B4" w:rsidRDefault="00EE74F9" w:rsidP="00EE74F9">
      <w:pPr>
        <w:pStyle w:val="BodyText"/>
        <w:rPr>
          <w:lang w:val="en-US"/>
        </w:rPr>
      </w:pPr>
      <w:r w:rsidRPr="002513B4">
        <w:rPr>
          <w:lang w:val="en-US"/>
        </w:rPr>
        <w:t xml:space="preserve">The </w:t>
      </w:r>
      <w:r w:rsidR="00006C25" w:rsidRPr="002513B4">
        <w:rPr>
          <w:lang w:val="en-US"/>
        </w:rPr>
        <w:t>ERF</w:t>
      </w:r>
      <w:r w:rsidRPr="002513B4">
        <w:rPr>
          <w:lang w:val="en-US"/>
        </w:rPr>
        <w:t xml:space="preserve"> (</w:t>
      </w:r>
      <w:r w:rsidR="00CD65A9" w:rsidRPr="002513B4">
        <w:rPr>
          <w:lang w:val="en-US"/>
        </w:rPr>
        <w:t xml:space="preserve">PDF </w:t>
      </w:r>
      <w:r w:rsidR="00AB4A49" w:rsidRPr="002513B4">
        <w:rPr>
          <w:lang w:val="en-US"/>
        </w:rPr>
        <w:t xml:space="preserve">available on the </w:t>
      </w:r>
      <w:hyperlink r:id="rId156" w:history="1">
        <w:r w:rsidR="00D965E3" w:rsidRPr="002513B4">
          <w:rPr>
            <w:rStyle w:val="Hyperlink"/>
            <w:lang w:val="en-US"/>
          </w:rPr>
          <w:t>Survey and Protocols web</w:t>
        </w:r>
        <w:r w:rsidR="00DB4C5C" w:rsidRPr="002513B4">
          <w:rPr>
            <w:rStyle w:val="Hyperlink"/>
            <w:lang w:val="en-US"/>
          </w:rPr>
          <w:t xml:space="preserve"> </w:t>
        </w:r>
        <w:r w:rsidR="00D965E3" w:rsidRPr="002513B4">
          <w:rPr>
            <w:rStyle w:val="Hyperlink"/>
            <w:lang w:val="en-US"/>
          </w:rPr>
          <w:t>page</w:t>
        </w:r>
      </w:hyperlink>
      <w:r w:rsidR="00D965E3" w:rsidRPr="002513B4">
        <w:rPr>
          <w:lang w:val="en-US"/>
        </w:rPr>
        <w:t> </w:t>
      </w:r>
      <w:r w:rsidR="00D965E3" w:rsidRPr="002513B4">
        <w:rPr>
          <w:noProof/>
          <w:lang w:val="en-US"/>
        </w:rPr>
        <w:drawing>
          <wp:inline distT="0" distB="0" distL="0" distR="0" wp14:anchorId="4351196A" wp14:editId="03E071AC">
            <wp:extent cx="95250" cy="95250"/>
            <wp:effectExtent l="0" t="0" r="0" b="0"/>
            <wp:docPr id="898518392"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D965E3" w:rsidRPr="002513B4">
        <w:rPr>
          <w:lang w:val="en-US"/>
        </w:rPr>
        <w:t xml:space="preserve"> of the </w:t>
      </w:r>
      <w:r w:rsidR="00AB4A49" w:rsidRPr="002513B4">
        <w:rPr>
          <w:lang w:val="en-US"/>
        </w:rPr>
        <w:t xml:space="preserve">HHCAHPS website and linked in </w:t>
      </w:r>
      <w:r w:rsidRPr="002513B4">
        <w:rPr>
          <w:b/>
          <w:bCs/>
          <w:i/>
          <w:iCs/>
          <w:lang w:val="en-US"/>
        </w:rPr>
        <w:t>Appendix </w:t>
      </w:r>
      <w:r w:rsidR="00AB4A49" w:rsidRPr="002513B4">
        <w:rPr>
          <w:b/>
          <w:bCs/>
          <w:i/>
          <w:iCs/>
          <w:lang w:val="en-US"/>
        </w:rPr>
        <w:t>A</w:t>
      </w:r>
      <w:r w:rsidRPr="002513B4">
        <w:rPr>
          <w:lang w:val="en-US"/>
        </w:rPr>
        <w:t xml:space="preserve">) is designed to allow the survey vendor to request a </w:t>
      </w:r>
      <w:r w:rsidRPr="002513B4">
        <w:rPr>
          <w:b/>
          <w:bCs/>
          <w:i/>
          <w:iCs/>
          <w:lang w:val="en-US"/>
        </w:rPr>
        <w:t xml:space="preserve">planned </w:t>
      </w:r>
      <w:r w:rsidRPr="002513B4">
        <w:rPr>
          <w:b/>
          <w:bCs/>
          <w:lang w:val="en-US"/>
        </w:rPr>
        <w:t>deviation</w:t>
      </w:r>
      <w:r w:rsidRPr="002513B4">
        <w:rPr>
          <w:lang w:val="en-US"/>
        </w:rPr>
        <w:t xml:space="preserve"> from the standard HHCAHPS Survey protocols. The form is designed to allow the survey vendor to request the same exception for multiple home health agencies (HHAs) for which it is responsible for collecting data</w:t>
      </w:r>
      <w:r w:rsidR="00AB4A49" w:rsidRPr="002513B4">
        <w:rPr>
          <w:lang w:val="en-US"/>
        </w:rPr>
        <w:t>, including all current and future client agencies</w:t>
      </w:r>
      <w:r w:rsidRPr="002513B4">
        <w:rPr>
          <w:lang w:val="en-US"/>
        </w:rPr>
        <w:t xml:space="preserve">. The </w:t>
      </w:r>
      <w:r w:rsidR="00006C25" w:rsidRPr="002513B4">
        <w:rPr>
          <w:lang w:val="en-US"/>
        </w:rPr>
        <w:t>ERF</w:t>
      </w:r>
      <w:r w:rsidRPr="002513B4">
        <w:rPr>
          <w:lang w:val="en-US"/>
        </w:rPr>
        <w:t xml:space="preserve"> can be accessed and submitted online </w:t>
      </w:r>
      <w:r w:rsidR="00AB4A49" w:rsidRPr="002513B4">
        <w:rPr>
          <w:lang w:val="en-US"/>
        </w:rPr>
        <w:t>to approved survey vendors</w:t>
      </w:r>
      <w:r w:rsidRPr="002513B4">
        <w:rPr>
          <w:lang w:val="en-US"/>
        </w:rPr>
        <w:t xml:space="preserve">. The HHCAHPS Survey Coordination Team has identified </w:t>
      </w:r>
      <w:r w:rsidR="00A62A2A" w:rsidRPr="002513B4">
        <w:rPr>
          <w:lang w:val="en-US"/>
        </w:rPr>
        <w:t>three</w:t>
      </w:r>
      <w:r w:rsidR="00900E69" w:rsidRPr="002513B4">
        <w:rPr>
          <w:lang w:val="en-US"/>
        </w:rPr>
        <w:t xml:space="preserve"> </w:t>
      </w:r>
      <w:r w:rsidRPr="002513B4">
        <w:rPr>
          <w:lang w:val="en-US"/>
        </w:rPr>
        <w:t xml:space="preserve">allowable exceptions on the HHCAHPS Survey </w:t>
      </w:r>
      <w:proofErr w:type="gramStart"/>
      <w:r w:rsidRPr="002513B4">
        <w:rPr>
          <w:lang w:val="en-US"/>
        </w:rPr>
        <w:t>at this time</w:t>
      </w:r>
      <w:proofErr w:type="gramEnd"/>
      <w:r w:rsidRPr="002513B4">
        <w:rPr>
          <w:lang w:val="en-US"/>
        </w:rPr>
        <w:t xml:space="preserve">: </w:t>
      </w:r>
    </w:p>
    <w:p w14:paraId="01A78553" w14:textId="0F60DEB2" w:rsidR="00455028" w:rsidRPr="002513B4" w:rsidRDefault="003B2491" w:rsidP="00BC2B61">
      <w:pPr>
        <w:pStyle w:val="ListBullet"/>
      </w:pPr>
      <w:r w:rsidRPr="002513B4">
        <w:t>U</w:t>
      </w:r>
      <w:r w:rsidR="00455028" w:rsidRPr="002513B4">
        <w:t>s</w:t>
      </w:r>
      <w:r w:rsidRPr="002513B4">
        <w:t>ing</w:t>
      </w:r>
      <w:r w:rsidR="00455028" w:rsidRPr="002513B4">
        <w:t xml:space="preserve"> </w:t>
      </w:r>
      <w:r w:rsidR="00455028" w:rsidRPr="002513B4">
        <w:rPr>
          <w:b/>
          <w:bCs/>
        </w:rPr>
        <w:t>disproportionate stratified random sampling</w:t>
      </w:r>
      <w:r w:rsidR="00455028" w:rsidRPr="002513B4">
        <w:t xml:space="preserve"> (DSRS);</w:t>
      </w:r>
    </w:p>
    <w:p w14:paraId="12B27142" w14:textId="124C0445" w:rsidR="00455028" w:rsidRPr="002513B4" w:rsidRDefault="003B2491" w:rsidP="00D316DE">
      <w:pPr>
        <w:pStyle w:val="ListBullet"/>
      </w:pPr>
      <w:r w:rsidRPr="002513B4">
        <w:rPr>
          <w:b/>
          <w:bCs/>
        </w:rPr>
        <w:t>D</w:t>
      </w:r>
      <w:r w:rsidR="00455028" w:rsidRPr="002513B4">
        <w:rPr>
          <w:b/>
          <w:bCs/>
        </w:rPr>
        <w:t>isplaying an agency’s name or logo on outgoing survey envelope</w:t>
      </w:r>
      <w:r w:rsidR="00455028" w:rsidRPr="002513B4">
        <w:t>s; and</w:t>
      </w:r>
    </w:p>
    <w:p w14:paraId="62AFBBFB" w14:textId="094C87FD" w:rsidR="00455028" w:rsidRPr="002513B4" w:rsidRDefault="003B2491" w:rsidP="00D316DE">
      <w:pPr>
        <w:pStyle w:val="ListBullet"/>
      </w:pPr>
      <w:r w:rsidRPr="002513B4">
        <w:rPr>
          <w:b/>
          <w:bCs/>
        </w:rPr>
        <w:t xml:space="preserve">Conducting </w:t>
      </w:r>
      <w:r w:rsidR="00455028" w:rsidRPr="002513B4">
        <w:rPr>
          <w:b/>
          <w:bCs/>
        </w:rPr>
        <w:t>HHCAHPS operations from a remote location</w:t>
      </w:r>
      <w:r w:rsidR="00455028" w:rsidRPr="002513B4">
        <w:t xml:space="preserve"> (other than your standard place of business).</w:t>
      </w:r>
    </w:p>
    <w:p w14:paraId="0ACB6AB6" w14:textId="3ADEC28A" w:rsidR="00EE74F9" w:rsidRPr="002513B4" w:rsidRDefault="00EE74F9" w:rsidP="00900E69">
      <w:pPr>
        <w:pStyle w:val="BodyText"/>
        <w:rPr>
          <w:lang w:val="en-US"/>
        </w:rPr>
      </w:pPr>
      <w:r w:rsidRPr="002513B4">
        <w:rPr>
          <w:lang w:val="en-US"/>
        </w:rPr>
        <w:t xml:space="preserve">Vendors must complete and submit an </w:t>
      </w:r>
      <w:r w:rsidR="00006C25" w:rsidRPr="002513B4">
        <w:rPr>
          <w:lang w:val="en-US"/>
        </w:rPr>
        <w:t>ERF</w:t>
      </w:r>
      <w:r w:rsidRPr="002513B4">
        <w:rPr>
          <w:lang w:val="en-US"/>
        </w:rPr>
        <w:t xml:space="preserve"> to obtain approval to implement </w:t>
      </w:r>
      <w:r w:rsidR="00900E69" w:rsidRPr="002513B4">
        <w:rPr>
          <w:lang w:val="en-US"/>
        </w:rPr>
        <w:t xml:space="preserve">any </w:t>
      </w:r>
      <w:r w:rsidRPr="002513B4">
        <w:rPr>
          <w:lang w:val="en-US"/>
        </w:rPr>
        <w:t xml:space="preserve">of these exceptions. In addition, vendors are asked to submit an </w:t>
      </w:r>
      <w:r w:rsidR="00BA4ADB" w:rsidRPr="002513B4">
        <w:rPr>
          <w:lang w:val="en-US"/>
        </w:rPr>
        <w:t>ERF</w:t>
      </w:r>
      <w:r w:rsidRPr="002513B4">
        <w:rPr>
          <w:lang w:val="en-US"/>
        </w:rPr>
        <w:t xml:space="preserve"> for any other exceptions to the HHCAHPS Survey protocol</w:t>
      </w:r>
      <w:r w:rsidR="00FB3ED8" w:rsidRPr="002513B4">
        <w:rPr>
          <w:lang w:val="en-US"/>
        </w:rPr>
        <w:t xml:space="preserve">, including any modifications to the </w:t>
      </w:r>
      <w:r w:rsidR="00AB4A49" w:rsidRPr="002513B4">
        <w:rPr>
          <w:lang w:val="en-US"/>
        </w:rPr>
        <w:t xml:space="preserve">sample mail survey </w:t>
      </w:r>
      <w:r w:rsidR="00FB3ED8" w:rsidRPr="002513B4">
        <w:rPr>
          <w:lang w:val="en-US"/>
        </w:rPr>
        <w:t xml:space="preserve">cover letters </w:t>
      </w:r>
      <w:r w:rsidR="00AB4A49" w:rsidRPr="002513B4">
        <w:rPr>
          <w:lang w:val="en-US"/>
        </w:rPr>
        <w:t xml:space="preserve">available on the </w:t>
      </w:r>
      <w:hyperlink r:id="rId157" w:history="1">
        <w:r w:rsidR="00D965E3" w:rsidRPr="002513B4">
          <w:rPr>
            <w:rStyle w:val="Hyperlink"/>
            <w:lang w:val="en-US"/>
          </w:rPr>
          <w:t>Survey and Protocols web</w:t>
        </w:r>
        <w:r w:rsidR="00DB4C5C" w:rsidRPr="002513B4">
          <w:rPr>
            <w:rStyle w:val="Hyperlink"/>
            <w:lang w:val="en-US"/>
          </w:rPr>
          <w:t xml:space="preserve"> </w:t>
        </w:r>
        <w:r w:rsidR="00D965E3" w:rsidRPr="002513B4">
          <w:rPr>
            <w:rStyle w:val="Hyperlink"/>
            <w:lang w:val="en-US"/>
          </w:rPr>
          <w:t>page</w:t>
        </w:r>
      </w:hyperlink>
      <w:r w:rsidR="00D965E3" w:rsidRPr="002513B4">
        <w:rPr>
          <w:lang w:val="en-US"/>
        </w:rPr>
        <w:t> </w:t>
      </w:r>
      <w:r w:rsidR="00D965E3" w:rsidRPr="002513B4">
        <w:rPr>
          <w:noProof/>
          <w:lang w:val="en-US"/>
        </w:rPr>
        <w:drawing>
          <wp:inline distT="0" distB="0" distL="0" distR="0" wp14:anchorId="2C447DE9" wp14:editId="3BFB9A34">
            <wp:extent cx="95250" cy="95250"/>
            <wp:effectExtent l="0" t="0" r="0" b="0"/>
            <wp:docPr id="600506070"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D965E3" w:rsidRPr="002513B4">
        <w:rPr>
          <w:lang w:val="en-US"/>
        </w:rPr>
        <w:t xml:space="preserve"> of the </w:t>
      </w:r>
      <w:r w:rsidR="00AB4A49" w:rsidRPr="002513B4">
        <w:rPr>
          <w:lang w:val="en-US"/>
        </w:rPr>
        <w:t xml:space="preserve">HHCAHPS website and linked in </w:t>
      </w:r>
      <w:r w:rsidR="00AB4A49" w:rsidRPr="002513B4">
        <w:rPr>
          <w:b/>
          <w:bCs/>
          <w:i/>
          <w:iCs/>
          <w:lang w:val="en-US"/>
        </w:rPr>
        <w:t>Appendix A</w:t>
      </w:r>
      <w:r w:rsidRPr="002513B4">
        <w:rPr>
          <w:lang w:val="en-US"/>
        </w:rPr>
        <w:t xml:space="preserve">. </w:t>
      </w:r>
      <w:r w:rsidR="00C5150E" w:rsidRPr="002513B4">
        <w:rPr>
          <w:lang w:val="en-US"/>
        </w:rPr>
        <w:t xml:space="preserve">CMS </w:t>
      </w:r>
      <w:r w:rsidRPr="002513B4">
        <w:rPr>
          <w:lang w:val="en-US"/>
        </w:rPr>
        <w:t>will make a determination after reviewing each request whether to approve the exception.</w:t>
      </w:r>
    </w:p>
    <w:p w14:paraId="38C96DBB" w14:textId="3A27B74C" w:rsidR="008334C9" w:rsidRPr="002513B4" w:rsidRDefault="00407A1E" w:rsidP="008334C9">
      <w:pPr>
        <w:pStyle w:val="Heading4"/>
        <w:rPr>
          <w:lang w:val="en-US"/>
        </w:rPr>
      </w:pPr>
      <w:bookmarkStart w:id="480" w:name="_Hlk121118880"/>
      <w:r w:rsidRPr="002513B4">
        <w:rPr>
          <w:lang w:val="en-US"/>
        </w:rPr>
        <w:t xml:space="preserve">14.2.1 </w:t>
      </w:r>
      <w:r w:rsidR="00D316DE" w:rsidRPr="002513B4">
        <w:rPr>
          <w:lang w:val="en-US"/>
        </w:rPr>
        <w:tab/>
      </w:r>
      <w:r w:rsidR="008334C9" w:rsidRPr="002513B4">
        <w:rPr>
          <w:lang w:val="en-US"/>
        </w:rPr>
        <w:t>Use of Disproportionate Stratified Random Sampling (DSRS)</w:t>
      </w:r>
    </w:p>
    <w:p w14:paraId="22837FD1" w14:textId="0BFE6441" w:rsidR="008334C9" w:rsidRPr="002513B4" w:rsidRDefault="008334C9" w:rsidP="000C3467">
      <w:pPr>
        <w:pStyle w:val="BodyText"/>
        <w:rPr>
          <w:b/>
          <w:bCs/>
          <w:lang w:val="en-US"/>
        </w:rPr>
      </w:pPr>
      <w:r w:rsidRPr="002513B4">
        <w:rPr>
          <w:lang w:val="en-US"/>
        </w:rPr>
        <w:t>Vendors who wish to implement DSRS must submit an ERF</w:t>
      </w:r>
      <w:r w:rsidR="006B0EEC" w:rsidRPr="002513B4">
        <w:rPr>
          <w:lang w:val="en-US"/>
        </w:rPr>
        <w:t xml:space="preserve">, following the guidance provided in </w:t>
      </w:r>
      <w:r w:rsidR="00867A16" w:rsidRPr="002513B4">
        <w:rPr>
          <w:b/>
          <w:bCs/>
          <w:i/>
          <w:iCs/>
          <w:lang w:val="en-US"/>
        </w:rPr>
        <w:t>Section 4.6.4.2</w:t>
      </w:r>
      <w:r w:rsidR="006B0EEC" w:rsidRPr="002513B4">
        <w:rPr>
          <w:lang w:val="en-US"/>
        </w:rPr>
        <w:t xml:space="preserve"> of this Manual. In brief, the vendor must:</w:t>
      </w:r>
    </w:p>
    <w:p w14:paraId="29CB4972" w14:textId="77777777" w:rsidR="006B0EEC" w:rsidRPr="002513B4" w:rsidRDefault="006B0EEC" w:rsidP="006B0EEC">
      <w:pPr>
        <w:pStyle w:val="ListBullet"/>
      </w:pPr>
      <w:r w:rsidRPr="002513B4">
        <w:lastRenderedPageBreak/>
        <w:t>Describe the process for identifying the different strata;</w:t>
      </w:r>
    </w:p>
    <w:p w14:paraId="76CD700E" w14:textId="77777777" w:rsidR="006B0EEC" w:rsidRPr="002513B4" w:rsidRDefault="006B0EEC" w:rsidP="006B0EEC">
      <w:pPr>
        <w:pStyle w:val="ListBullet"/>
      </w:pPr>
      <w:r w:rsidRPr="002513B4">
        <w:t>Use the same name for each stratum in each month in the quarter;</w:t>
      </w:r>
    </w:p>
    <w:p w14:paraId="4250BA87" w14:textId="77777777" w:rsidR="006B0EEC" w:rsidRPr="002513B4" w:rsidRDefault="006B0EEC" w:rsidP="006B0EEC">
      <w:pPr>
        <w:pStyle w:val="ListBullet"/>
      </w:pPr>
      <w:r w:rsidRPr="002513B4">
        <w:t>Make sure that each stratum has a minimum of 10 patients eligible to be included in the survey during the sample month; and</w:t>
      </w:r>
    </w:p>
    <w:p w14:paraId="2E10A72F" w14:textId="738C5454" w:rsidR="006B0EEC" w:rsidRPr="002513B4" w:rsidRDefault="006B0EEC" w:rsidP="006B0EEC">
      <w:pPr>
        <w:pStyle w:val="ListBullet"/>
      </w:pPr>
      <w:r w:rsidRPr="002513B4">
        <w:t xml:space="preserve">Provide additional information about each stratum as noted in </w:t>
      </w:r>
      <w:r w:rsidRPr="002513B4">
        <w:rPr>
          <w:b/>
          <w:bCs/>
          <w:i/>
          <w:iCs/>
        </w:rPr>
        <w:t xml:space="preserve">Chapter </w:t>
      </w:r>
      <w:r w:rsidR="00052BBA" w:rsidRPr="002513B4">
        <w:rPr>
          <w:b/>
          <w:bCs/>
          <w:i/>
          <w:iCs/>
        </w:rPr>
        <w:t>4</w:t>
      </w:r>
      <w:r w:rsidRPr="002513B4">
        <w:t>.</w:t>
      </w:r>
    </w:p>
    <w:p w14:paraId="4FEA7D41" w14:textId="60B49E7C" w:rsidR="008334C9" w:rsidRPr="002513B4" w:rsidRDefault="005A5692" w:rsidP="000C3467">
      <w:pPr>
        <w:pStyle w:val="BodyText"/>
        <w:rPr>
          <w:b/>
          <w:bCs/>
          <w:lang w:val="en-US"/>
        </w:rPr>
      </w:pPr>
      <w:r w:rsidRPr="002513B4">
        <w:rPr>
          <w:lang w:val="en-US"/>
        </w:rPr>
        <w:t xml:space="preserve">If a vendor’s ERF for DSRS is approved, the vendor must use the DSRS XML data file layout to submit data for the agency. See </w:t>
      </w:r>
      <w:r w:rsidRPr="002513B4">
        <w:rPr>
          <w:b/>
          <w:bCs/>
          <w:i/>
          <w:iCs/>
          <w:lang w:val="en-US"/>
        </w:rPr>
        <w:t xml:space="preserve">Chapter </w:t>
      </w:r>
      <w:r w:rsidR="00D624A3" w:rsidRPr="002513B4">
        <w:rPr>
          <w:b/>
          <w:bCs/>
          <w:i/>
          <w:iCs/>
          <w:lang w:val="en-US"/>
        </w:rPr>
        <w:t>10</w:t>
      </w:r>
      <w:r w:rsidRPr="002513B4">
        <w:rPr>
          <w:lang w:val="en-US"/>
        </w:rPr>
        <w:t xml:space="preserve"> for more information.</w:t>
      </w:r>
    </w:p>
    <w:p w14:paraId="71D415E1" w14:textId="0D4FE777" w:rsidR="008334C9" w:rsidRPr="002513B4" w:rsidRDefault="00407A1E" w:rsidP="008334C9">
      <w:pPr>
        <w:pStyle w:val="Heading4"/>
        <w:rPr>
          <w:lang w:val="en-US"/>
        </w:rPr>
      </w:pPr>
      <w:r w:rsidRPr="002513B4">
        <w:rPr>
          <w:lang w:val="en-US"/>
        </w:rPr>
        <w:t xml:space="preserve">14.2.2 </w:t>
      </w:r>
      <w:r w:rsidR="00D316DE" w:rsidRPr="002513B4">
        <w:rPr>
          <w:lang w:val="en-US"/>
        </w:rPr>
        <w:tab/>
      </w:r>
      <w:r w:rsidR="008334C9" w:rsidRPr="002513B4">
        <w:rPr>
          <w:lang w:val="en-US"/>
        </w:rPr>
        <w:t>Displaying an Agency’s Name or Logo on Outgoing Envelopes</w:t>
      </w:r>
    </w:p>
    <w:p w14:paraId="70584ED3" w14:textId="77777777" w:rsidR="005A5692" w:rsidRPr="002513B4" w:rsidRDefault="008334C9" w:rsidP="000C3467">
      <w:pPr>
        <w:pStyle w:val="BodyText"/>
        <w:rPr>
          <w:b/>
          <w:bCs/>
          <w:lang w:val="en-US"/>
        </w:rPr>
      </w:pPr>
      <w:r w:rsidRPr="002513B4">
        <w:rPr>
          <w:lang w:val="en-US"/>
        </w:rPr>
        <w:t xml:space="preserve">Vendors </w:t>
      </w:r>
      <w:r w:rsidR="00B1410A" w:rsidRPr="002513B4">
        <w:rPr>
          <w:lang w:val="en-US"/>
        </w:rPr>
        <w:t>who wish to use an agency’s name or logo on outgoing envelopes must submit an ERF indicating that they have the agency’s approval to display the name or logo on the envelope and the agency believes there are no HIPAA risks.</w:t>
      </w:r>
      <w:r w:rsidR="005A5692" w:rsidRPr="002513B4">
        <w:rPr>
          <w:lang w:val="en-US"/>
        </w:rPr>
        <w:t xml:space="preserve"> It is up to each vendor to determine what kind of documentation or assurances </w:t>
      </w:r>
      <w:proofErr w:type="gramStart"/>
      <w:r w:rsidR="005A5692" w:rsidRPr="002513B4">
        <w:rPr>
          <w:lang w:val="en-US"/>
        </w:rPr>
        <w:t>it</w:t>
      </w:r>
      <w:proofErr w:type="gramEnd"/>
      <w:r w:rsidR="005A5692" w:rsidRPr="002513B4">
        <w:rPr>
          <w:lang w:val="en-US"/>
        </w:rPr>
        <w:t xml:space="preserve"> needs from its clients for its own internal recordkeeping to feel comfortable submitting the ERF. The documentation pertaining to such a request will not be reviewed during site visits.</w:t>
      </w:r>
    </w:p>
    <w:p w14:paraId="06D4D8AF" w14:textId="0E9AD0BA" w:rsidR="008334C9" w:rsidRPr="002513B4" w:rsidRDefault="005A5692" w:rsidP="000C3467">
      <w:pPr>
        <w:pStyle w:val="BodyText"/>
        <w:rPr>
          <w:b/>
          <w:bCs/>
          <w:lang w:val="en-US"/>
        </w:rPr>
      </w:pPr>
      <w:r w:rsidRPr="002513B4">
        <w:rPr>
          <w:lang w:val="en-US"/>
        </w:rPr>
        <w:t>The ERF should include a statement that the vendor has discussed or will discuss the potential for HIPAA risks with its current and future client(s) and has or will obtain approval from the client(s) to display the facility name and/or logo on the envelope or through the envelope window. Vendors only need to submit one ERF to cover all current and future clients.</w:t>
      </w:r>
    </w:p>
    <w:p w14:paraId="2E8977EF" w14:textId="5803A7B6" w:rsidR="00900E69" w:rsidRPr="002513B4" w:rsidRDefault="00407A1E" w:rsidP="008334C9">
      <w:pPr>
        <w:pStyle w:val="Heading4"/>
        <w:rPr>
          <w:lang w:val="en-US"/>
        </w:rPr>
      </w:pPr>
      <w:r w:rsidRPr="002513B4">
        <w:rPr>
          <w:lang w:val="en-US"/>
        </w:rPr>
        <w:t xml:space="preserve">14.2.3 </w:t>
      </w:r>
      <w:r w:rsidR="00576BF4" w:rsidRPr="002513B4">
        <w:rPr>
          <w:lang w:val="en-US"/>
        </w:rPr>
        <w:tab/>
      </w:r>
      <w:r w:rsidR="00900E69" w:rsidRPr="002513B4">
        <w:rPr>
          <w:lang w:val="en-US"/>
        </w:rPr>
        <w:t>Conducting HHCAHPS Operations From a Remote Location</w:t>
      </w:r>
    </w:p>
    <w:p w14:paraId="6ACAD4CD" w14:textId="77777777" w:rsidR="00900E69" w:rsidRPr="002513B4" w:rsidRDefault="00900E69" w:rsidP="000C3467">
      <w:pPr>
        <w:pStyle w:val="BodyText"/>
        <w:rPr>
          <w:lang w:val="en-US"/>
        </w:rPr>
      </w:pPr>
      <w:bookmarkStart w:id="481" w:name="_Hlk121118638"/>
      <w:r w:rsidRPr="002513B4">
        <w:rPr>
          <w:lang w:val="en-US"/>
        </w:rPr>
        <w:t xml:space="preserve">Vendors conducting or planning to conduct HHCAHPS Survey operations from a remote location (other than the vendor’s place of business) must summarize </w:t>
      </w:r>
      <w:r w:rsidR="00C5150E" w:rsidRPr="002513B4">
        <w:rPr>
          <w:lang w:val="en-US"/>
        </w:rPr>
        <w:t>which type(s) of</w:t>
      </w:r>
      <w:r w:rsidRPr="002513B4">
        <w:rPr>
          <w:lang w:val="en-US"/>
        </w:rPr>
        <w:t xml:space="preserve"> staff </w:t>
      </w:r>
      <w:r w:rsidR="00C5150E" w:rsidRPr="002513B4">
        <w:rPr>
          <w:lang w:val="en-US"/>
        </w:rPr>
        <w:t xml:space="preserve">are impacted </w:t>
      </w:r>
      <w:r w:rsidRPr="002513B4">
        <w:rPr>
          <w:lang w:val="en-US"/>
        </w:rPr>
        <w:t xml:space="preserve">and thoroughly describe how remote operations will be conducted to </w:t>
      </w:r>
      <w:r w:rsidR="00CB3277" w:rsidRPr="002513B4">
        <w:rPr>
          <w:lang w:val="en-US"/>
        </w:rPr>
        <w:t>en</w:t>
      </w:r>
      <w:r w:rsidRPr="002513B4">
        <w:rPr>
          <w:lang w:val="en-US"/>
        </w:rPr>
        <w:t xml:space="preserve">sure compliance with HIPAA, data security, and quality assurance requirements. Vendors are required to update and resubmit their remote-work Exceptions Request every </w:t>
      </w:r>
      <w:r w:rsidR="00BA4ADB" w:rsidRPr="002513B4">
        <w:rPr>
          <w:lang w:val="en-US"/>
        </w:rPr>
        <w:t>two</w:t>
      </w:r>
      <w:r w:rsidRPr="002513B4">
        <w:rPr>
          <w:lang w:val="en-US"/>
        </w:rPr>
        <w:t xml:space="preserve"> years for CMS’s consideration to allow their HHCAHPS </w:t>
      </w:r>
      <w:r w:rsidR="00C5150E" w:rsidRPr="002513B4">
        <w:rPr>
          <w:lang w:val="en-US"/>
        </w:rPr>
        <w:t xml:space="preserve">remote </w:t>
      </w:r>
      <w:r w:rsidRPr="002513B4">
        <w:rPr>
          <w:lang w:val="en-US"/>
        </w:rPr>
        <w:t xml:space="preserve">operations to </w:t>
      </w:r>
      <w:r w:rsidR="00C5150E" w:rsidRPr="002513B4">
        <w:rPr>
          <w:lang w:val="en-US"/>
        </w:rPr>
        <w:t>continue</w:t>
      </w:r>
      <w:r w:rsidRPr="002513B4">
        <w:rPr>
          <w:lang w:val="en-US"/>
        </w:rPr>
        <w:t>.</w:t>
      </w:r>
    </w:p>
    <w:bookmarkEnd w:id="480"/>
    <w:bookmarkEnd w:id="481"/>
    <w:p w14:paraId="0252B988" w14:textId="5431830B" w:rsidR="00EE74F9" w:rsidRPr="002513B4" w:rsidRDefault="00407A1E" w:rsidP="00EE74F9">
      <w:pPr>
        <w:pStyle w:val="Heading4"/>
        <w:rPr>
          <w:lang w:val="en-US"/>
        </w:rPr>
      </w:pPr>
      <w:r w:rsidRPr="002513B4">
        <w:rPr>
          <w:lang w:val="en-US"/>
        </w:rPr>
        <w:t xml:space="preserve">14.2.4 </w:t>
      </w:r>
      <w:r w:rsidR="00576BF4" w:rsidRPr="002513B4">
        <w:rPr>
          <w:lang w:val="en-US"/>
        </w:rPr>
        <w:tab/>
      </w:r>
      <w:r w:rsidR="00EE74F9" w:rsidRPr="002513B4">
        <w:rPr>
          <w:lang w:val="en-US"/>
        </w:rPr>
        <w:t>Review Process</w:t>
      </w:r>
    </w:p>
    <w:bookmarkEnd w:id="479"/>
    <w:p w14:paraId="3AA45007" w14:textId="12948A8A" w:rsidR="00EE74F9" w:rsidRPr="002513B4" w:rsidRDefault="00EE74F9" w:rsidP="00EE74F9">
      <w:pPr>
        <w:pStyle w:val="BodyText"/>
        <w:rPr>
          <w:lang w:val="en-US"/>
        </w:rPr>
      </w:pPr>
      <w:r w:rsidRPr="002513B4">
        <w:rPr>
          <w:lang w:val="en-US"/>
        </w:rPr>
        <w:t xml:space="preserve">The Coordination Team will review the vendor’s </w:t>
      </w:r>
      <w:r w:rsidR="005167B8" w:rsidRPr="002513B4">
        <w:rPr>
          <w:lang w:val="en-US"/>
        </w:rPr>
        <w:t>ERF</w:t>
      </w:r>
      <w:r w:rsidRPr="002513B4">
        <w:rPr>
          <w:lang w:val="en-US"/>
        </w:rPr>
        <w:t xml:space="preserve">, evaluating the methodological strengths and weaknesses of the proposed approach. The Coordination Team will let the survey vendor know whether the </w:t>
      </w:r>
      <w:r w:rsidR="005167B8" w:rsidRPr="002513B4">
        <w:rPr>
          <w:lang w:val="en-US"/>
        </w:rPr>
        <w:t>ERF</w:t>
      </w:r>
      <w:r w:rsidRPr="002513B4">
        <w:rPr>
          <w:lang w:val="en-US"/>
        </w:rPr>
        <w:t xml:space="preserve"> has been approved or denied</w:t>
      </w:r>
      <w:r w:rsidR="00BA4ADB" w:rsidRPr="002513B4">
        <w:rPr>
          <w:lang w:val="en-US"/>
        </w:rPr>
        <w:t xml:space="preserve"> by CMS</w:t>
      </w:r>
      <w:r w:rsidRPr="002513B4">
        <w:rPr>
          <w:lang w:val="en-US"/>
        </w:rPr>
        <w:t xml:space="preserve">. If denied, the vendor will have </w:t>
      </w:r>
      <w:r w:rsidR="00BA4ADB" w:rsidRPr="002513B4">
        <w:rPr>
          <w:lang w:val="en-US"/>
        </w:rPr>
        <w:t>five</w:t>
      </w:r>
      <w:r w:rsidRPr="002513B4">
        <w:rPr>
          <w:lang w:val="en-US"/>
        </w:rPr>
        <w:t xml:space="preserve"> business days to appeal the decision. To submit an appeal, the vendor needs to check “Appeal of Exception Denial” in Box 1a on the </w:t>
      </w:r>
      <w:r w:rsidR="00BA4ADB" w:rsidRPr="002513B4">
        <w:rPr>
          <w:lang w:val="en-US"/>
        </w:rPr>
        <w:t>ERF</w:t>
      </w:r>
      <w:r w:rsidRPr="002513B4">
        <w:rPr>
          <w:lang w:val="en-US"/>
        </w:rPr>
        <w:t xml:space="preserve"> and update the form to provide further information about the exception being requested. The Coordination Team will review the appeal and return a final decision to the survey vendor within 10 business days.</w:t>
      </w:r>
    </w:p>
    <w:p w14:paraId="4C9EEA2C" w14:textId="0551A9A6" w:rsidR="00EE74F9" w:rsidRPr="002513B4" w:rsidRDefault="00407A1E" w:rsidP="00EE74F9">
      <w:pPr>
        <w:pStyle w:val="Heading3"/>
        <w:rPr>
          <w:lang w:val="en-US"/>
        </w:rPr>
      </w:pPr>
      <w:bookmarkStart w:id="482" w:name="_Toc224984475"/>
      <w:bookmarkStart w:id="483" w:name="_Toc251318204"/>
      <w:bookmarkStart w:id="484" w:name="_Toc407633134"/>
      <w:bookmarkStart w:id="485" w:name="_Toc24713413"/>
      <w:bookmarkStart w:id="486" w:name="_Toc217305644"/>
      <w:r w:rsidRPr="002513B4">
        <w:rPr>
          <w:lang w:val="en-US"/>
        </w:rPr>
        <w:lastRenderedPageBreak/>
        <w:t>14.3</w:t>
      </w:r>
      <w:r w:rsidRPr="002513B4">
        <w:rPr>
          <w:lang w:val="en-US"/>
        </w:rPr>
        <w:tab/>
      </w:r>
      <w:r w:rsidR="00EE74F9" w:rsidRPr="002513B4">
        <w:rPr>
          <w:lang w:val="en-US"/>
        </w:rPr>
        <w:t>Discrepancy Notification Report</w:t>
      </w:r>
      <w:bookmarkEnd w:id="482"/>
      <w:bookmarkEnd w:id="483"/>
      <w:bookmarkEnd w:id="484"/>
      <w:bookmarkEnd w:id="485"/>
      <w:bookmarkEnd w:id="486"/>
    </w:p>
    <w:p w14:paraId="078A6B5C" w14:textId="0ED9F3E3" w:rsidR="00EE74F9" w:rsidRPr="002513B4" w:rsidRDefault="00EE74F9" w:rsidP="00EE74F9">
      <w:pPr>
        <w:pStyle w:val="BodyText"/>
        <w:rPr>
          <w:lang w:val="en-US"/>
        </w:rPr>
      </w:pPr>
      <w:r w:rsidRPr="002513B4">
        <w:rPr>
          <w:lang w:val="en-US"/>
        </w:rPr>
        <w:t xml:space="preserve">The </w:t>
      </w:r>
      <w:r w:rsidR="00BA4ADB" w:rsidRPr="002513B4">
        <w:rPr>
          <w:lang w:val="en-US"/>
        </w:rPr>
        <w:t>DNR</w:t>
      </w:r>
      <w:r w:rsidRPr="002513B4">
        <w:rPr>
          <w:lang w:val="en-US"/>
        </w:rPr>
        <w:t xml:space="preserve"> (</w:t>
      </w:r>
      <w:r w:rsidR="005167B8" w:rsidRPr="002513B4">
        <w:rPr>
          <w:lang w:val="en-US"/>
        </w:rPr>
        <w:t xml:space="preserve">available on the </w:t>
      </w:r>
      <w:hyperlink r:id="rId158" w:history="1">
        <w:r w:rsidR="00D965E3" w:rsidRPr="002513B4">
          <w:rPr>
            <w:rStyle w:val="Hyperlink"/>
            <w:lang w:val="en-US"/>
          </w:rPr>
          <w:t>Survey and Protocols web</w:t>
        </w:r>
        <w:r w:rsidR="00DB4C5C" w:rsidRPr="002513B4">
          <w:rPr>
            <w:rStyle w:val="Hyperlink"/>
            <w:lang w:val="en-US"/>
          </w:rPr>
          <w:t xml:space="preserve"> </w:t>
        </w:r>
        <w:r w:rsidR="00D965E3" w:rsidRPr="002513B4">
          <w:rPr>
            <w:rStyle w:val="Hyperlink"/>
            <w:lang w:val="en-US"/>
          </w:rPr>
          <w:t>page</w:t>
        </w:r>
      </w:hyperlink>
      <w:r w:rsidR="00D965E3" w:rsidRPr="002513B4">
        <w:rPr>
          <w:lang w:val="en-US"/>
        </w:rPr>
        <w:t> </w:t>
      </w:r>
      <w:r w:rsidR="00D965E3" w:rsidRPr="002513B4">
        <w:rPr>
          <w:noProof/>
          <w:lang w:val="en-US"/>
        </w:rPr>
        <w:drawing>
          <wp:inline distT="0" distB="0" distL="0" distR="0" wp14:anchorId="0DE06863" wp14:editId="46ACD43B">
            <wp:extent cx="95250" cy="95250"/>
            <wp:effectExtent l="0" t="0" r="0" b="0"/>
            <wp:docPr id="338010386"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D965E3" w:rsidRPr="002513B4">
        <w:rPr>
          <w:lang w:val="en-US"/>
        </w:rPr>
        <w:t xml:space="preserve"> of the </w:t>
      </w:r>
      <w:r w:rsidR="005167B8" w:rsidRPr="002513B4">
        <w:rPr>
          <w:lang w:val="en-US"/>
        </w:rPr>
        <w:t xml:space="preserve">HHCAHPS website and linked in </w:t>
      </w:r>
      <w:r w:rsidRPr="002513B4">
        <w:rPr>
          <w:b/>
          <w:bCs/>
          <w:i/>
          <w:iCs/>
          <w:lang w:val="en-US"/>
        </w:rPr>
        <w:t>Appendix </w:t>
      </w:r>
      <w:r w:rsidR="005167B8" w:rsidRPr="002513B4">
        <w:rPr>
          <w:b/>
          <w:bCs/>
          <w:i/>
          <w:iCs/>
          <w:lang w:val="en-US"/>
        </w:rPr>
        <w:t>A</w:t>
      </w:r>
      <w:r w:rsidRPr="002513B4">
        <w:rPr>
          <w:i/>
          <w:iCs/>
          <w:lang w:val="en-US"/>
        </w:rPr>
        <w:t>)</w:t>
      </w:r>
      <w:r w:rsidRPr="002513B4">
        <w:rPr>
          <w:lang w:val="en-US"/>
        </w:rPr>
        <w:t xml:space="preserve"> is designed to allow the survey vendor to notify the HHCAHPS Survey Coordination Team of an </w:t>
      </w:r>
      <w:r w:rsidRPr="002513B4">
        <w:rPr>
          <w:i/>
          <w:lang w:val="en-US"/>
        </w:rPr>
        <w:t>unplanned deviation</w:t>
      </w:r>
      <w:r w:rsidRPr="002513B4">
        <w:rPr>
          <w:lang w:val="en-US"/>
        </w:rPr>
        <w:t xml:space="preserve"> from the HHCAHPS Survey protocols that will require some form of corrective action on the part of the survey vendor. CMS reviews this information as part of its evaluation of whether HHAs have met the HHCAHPS Survey participation requirements for each calendar year APU. Examples of instances when a </w:t>
      </w:r>
      <w:r w:rsidR="00BA4ADB" w:rsidRPr="002513B4">
        <w:rPr>
          <w:lang w:val="en-US"/>
        </w:rPr>
        <w:t>DNR</w:t>
      </w:r>
      <w:r w:rsidRPr="002513B4">
        <w:rPr>
          <w:lang w:val="en-US"/>
        </w:rPr>
        <w:t xml:space="preserve"> is required include the following:</w:t>
      </w:r>
    </w:p>
    <w:p w14:paraId="644565F0" w14:textId="77777777" w:rsidR="00EE74F9" w:rsidRPr="002513B4" w:rsidRDefault="00EE74F9" w:rsidP="00EE74F9">
      <w:pPr>
        <w:pStyle w:val="ListBullet"/>
      </w:pPr>
      <w:r w:rsidRPr="002513B4">
        <w:t>The vendor or HHA inadvertently omitted from the sample frame patients who were eligible for the survey;</w:t>
      </w:r>
    </w:p>
    <w:p w14:paraId="556486E5" w14:textId="77777777" w:rsidR="00EE74F9" w:rsidRPr="002513B4" w:rsidRDefault="00EE74F9" w:rsidP="00EE74F9">
      <w:pPr>
        <w:pStyle w:val="ListBullet"/>
      </w:pPr>
      <w:r w:rsidRPr="002513B4">
        <w:t xml:space="preserve">The vendor is unable to initiate the survey within 21 days after the sample month ends </w:t>
      </w:r>
      <w:r w:rsidR="00BA4ADB" w:rsidRPr="002513B4">
        <w:t xml:space="preserve">and </w:t>
      </w:r>
      <w:r w:rsidRPr="002513B4">
        <w:t>when the survey is initiated from the 22nd through the 26th day after the sample month ended;</w:t>
      </w:r>
    </w:p>
    <w:p w14:paraId="0C97EFD0" w14:textId="77777777" w:rsidR="00EE74F9" w:rsidRPr="002513B4" w:rsidRDefault="00EE74F9" w:rsidP="00EE74F9">
      <w:pPr>
        <w:pStyle w:val="ListBullet"/>
      </w:pPr>
      <w:r w:rsidRPr="002513B4">
        <w:t xml:space="preserve">A data element was incorrectly coded and submitted on the </w:t>
      </w:r>
      <w:r w:rsidR="00D818AA" w:rsidRPr="002513B4">
        <w:t>XML data file</w:t>
      </w:r>
      <w:r w:rsidRPr="002513B4">
        <w:t xml:space="preserve"> (e.g., the “proxy” indicator was incorrectly computed);</w:t>
      </w:r>
    </w:p>
    <w:p w14:paraId="3BD7B243" w14:textId="77777777" w:rsidR="00EE74F9" w:rsidRPr="002513B4" w:rsidRDefault="00EE74F9" w:rsidP="00EE74F9">
      <w:pPr>
        <w:pStyle w:val="ListBullet"/>
      </w:pPr>
      <w:r w:rsidRPr="002513B4">
        <w:t>There has been a natural disaster or event that has interrupted data collection in such a way as to adversely affect survey outcomes; and</w:t>
      </w:r>
    </w:p>
    <w:p w14:paraId="5CDE9AEA" w14:textId="74F9F43B" w:rsidR="00EE74F9" w:rsidRPr="002513B4" w:rsidRDefault="00EE74F9" w:rsidP="00EE74F9">
      <w:pPr>
        <w:pStyle w:val="ListBullet"/>
      </w:pPr>
      <w:r w:rsidRPr="002513B4">
        <w:t>The HHA was unable to</w:t>
      </w:r>
      <w:r w:rsidRPr="002513B4">
        <w:rPr>
          <w:vertAlign w:val="superscript"/>
        </w:rPr>
        <w:t xml:space="preserve"> </w:t>
      </w:r>
      <w:r w:rsidRPr="002513B4">
        <w:t>provide the vendor with a file for the sample</w:t>
      </w:r>
      <w:r w:rsidRPr="002513B4">
        <w:rPr>
          <w:vertAlign w:val="superscript"/>
        </w:rPr>
        <w:t xml:space="preserve"> </w:t>
      </w:r>
      <w:r w:rsidRPr="002513B4">
        <w:t xml:space="preserve">month, for whatever reason (note that the reason must be specified in the </w:t>
      </w:r>
      <w:r w:rsidR="00BA4ADB" w:rsidRPr="002513B4">
        <w:t>DNR</w:t>
      </w:r>
      <w:r w:rsidR="005167B8" w:rsidRPr="002513B4">
        <w:t xml:space="preserve">; if reason is unknown, the vendor should state </w:t>
      </w:r>
      <w:r w:rsidR="00E00E41" w:rsidRPr="002513B4">
        <w:t>that</w:t>
      </w:r>
      <w:r w:rsidRPr="002513B4">
        <w:t>).</w:t>
      </w:r>
    </w:p>
    <w:p w14:paraId="62E9F665" w14:textId="5A6E1771" w:rsidR="00EE74F9" w:rsidRPr="002513B4" w:rsidRDefault="00EE74F9" w:rsidP="00EE74F9">
      <w:pPr>
        <w:pStyle w:val="BodyText"/>
        <w:rPr>
          <w:lang w:val="en-US"/>
        </w:rPr>
      </w:pPr>
      <w:r w:rsidRPr="002513B4">
        <w:rPr>
          <w:lang w:val="en-US"/>
        </w:rPr>
        <w:t xml:space="preserve">The </w:t>
      </w:r>
      <w:r w:rsidR="00BA4ADB" w:rsidRPr="002513B4">
        <w:rPr>
          <w:lang w:val="en-US"/>
        </w:rPr>
        <w:t>DNR</w:t>
      </w:r>
      <w:r w:rsidRPr="002513B4">
        <w:rPr>
          <w:lang w:val="en-US"/>
        </w:rPr>
        <w:t xml:space="preserve"> can be accessed and submitted online via the HHCAHPS Survey website </w:t>
      </w:r>
      <w:r w:rsidR="005167B8" w:rsidRPr="002513B4">
        <w:rPr>
          <w:lang w:val="en-US"/>
        </w:rPr>
        <w:t>to approved survey vendors</w:t>
      </w:r>
      <w:r w:rsidRPr="002513B4">
        <w:rPr>
          <w:lang w:val="en-US"/>
        </w:rPr>
        <w:t xml:space="preserve">. A </w:t>
      </w:r>
      <w:r w:rsidR="005167B8" w:rsidRPr="002513B4">
        <w:rPr>
          <w:lang w:val="en-US"/>
        </w:rPr>
        <w:t xml:space="preserve">DNR </w:t>
      </w:r>
      <w:r w:rsidRPr="002513B4">
        <w:rPr>
          <w:lang w:val="en-US"/>
        </w:rPr>
        <w:t xml:space="preserve">Excel template is also available </w:t>
      </w:r>
      <w:r w:rsidR="00FB58FC" w:rsidRPr="002513B4">
        <w:rPr>
          <w:lang w:val="en-US"/>
        </w:rPr>
        <w:t>on the same web</w:t>
      </w:r>
      <w:r w:rsidR="00DB4C5C" w:rsidRPr="002513B4">
        <w:rPr>
          <w:lang w:val="en-US"/>
        </w:rPr>
        <w:t xml:space="preserve"> </w:t>
      </w:r>
      <w:r w:rsidR="00FB58FC" w:rsidRPr="002513B4">
        <w:rPr>
          <w:lang w:val="en-US"/>
        </w:rPr>
        <w:t xml:space="preserve">page </w:t>
      </w:r>
      <w:r w:rsidRPr="002513B4">
        <w:rPr>
          <w:lang w:val="en-US"/>
        </w:rPr>
        <w:t xml:space="preserve">for vendors to submit with their online DNR. The </w:t>
      </w:r>
      <w:r w:rsidR="005167B8" w:rsidRPr="002513B4">
        <w:rPr>
          <w:lang w:val="en-US"/>
        </w:rPr>
        <w:t xml:space="preserve">DNR </w:t>
      </w:r>
      <w:r w:rsidRPr="002513B4">
        <w:rPr>
          <w:lang w:val="en-US"/>
        </w:rPr>
        <w:t xml:space="preserve">Excel template contains fields for all required pieces of information </w:t>
      </w:r>
      <w:r w:rsidR="00BA4ADB" w:rsidRPr="002513B4">
        <w:rPr>
          <w:lang w:val="en-US"/>
        </w:rPr>
        <w:t xml:space="preserve">the Coordination Team </w:t>
      </w:r>
      <w:r w:rsidRPr="002513B4">
        <w:rPr>
          <w:lang w:val="en-US"/>
        </w:rPr>
        <w:t>needs to evaluate the discrepancy.</w:t>
      </w:r>
    </w:p>
    <w:p w14:paraId="449E7667" w14:textId="77777777" w:rsidR="00EE74F9" w:rsidRPr="002513B4" w:rsidRDefault="00EE74F9" w:rsidP="00EE74F9">
      <w:pPr>
        <w:pStyle w:val="BodyText"/>
        <w:rPr>
          <w:lang w:val="en-US"/>
        </w:rPr>
      </w:pPr>
      <w:r w:rsidRPr="002513B4">
        <w:rPr>
          <w:lang w:val="en-US"/>
        </w:rPr>
        <w:t xml:space="preserve">The vendor is expected to notify the HHCAHPS Survey Coordination Team </w:t>
      </w:r>
      <w:r w:rsidRPr="002513B4">
        <w:rPr>
          <w:b/>
          <w:i/>
          <w:lang w:val="en-US"/>
        </w:rPr>
        <w:t>within 24 hours after the discovery of the discrepancy</w:t>
      </w:r>
      <w:r w:rsidRPr="002513B4">
        <w:rPr>
          <w:lang w:val="en-US"/>
        </w:rPr>
        <w:t>. The vendor must also notify all affected HHAs that a DNR has been submitted to the Coordination Team on their behalf. The DNR must clearly describe the discrepancy and the action proposed by the vendor to correct the discrepancy, along with a proposed timeline to correct the discrepancy. At a minimum, the following information must be included on the report form:</w:t>
      </w:r>
    </w:p>
    <w:p w14:paraId="0E3134F9" w14:textId="031489D4" w:rsidR="00EE74F9" w:rsidRPr="002513B4" w:rsidRDefault="00EE74F9" w:rsidP="00EE74F9">
      <w:pPr>
        <w:pStyle w:val="ListBullet"/>
      </w:pPr>
      <w:r w:rsidRPr="002513B4">
        <w:t>HHA’s CCN;</w:t>
      </w:r>
    </w:p>
    <w:p w14:paraId="10C9E8FC" w14:textId="77777777" w:rsidR="00EE74F9" w:rsidRPr="002513B4" w:rsidRDefault="00EE74F9" w:rsidP="00EE74F9">
      <w:pPr>
        <w:pStyle w:val="ListBullet"/>
      </w:pPr>
      <w:r w:rsidRPr="002513B4">
        <w:t>Sample month and year;</w:t>
      </w:r>
    </w:p>
    <w:p w14:paraId="2CFBCBB0" w14:textId="77777777" w:rsidR="00EE74F9" w:rsidRPr="002513B4" w:rsidRDefault="00EE74F9" w:rsidP="00EE74F9">
      <w:pPr>
        <w:pStyle w:val="ListBullet"/>
      </w:pPr>
      <w:r w:rsidRPr="002513B4">
        <w:t>Number of affected patients;</w:t>
      </w:r>
    </w:p>
    <w:p w14:paraId="52C1E4FF" w14:textId="77777777" w:rsidR="00EE74F9" w:rsidRPr="002513B4" w:rsidRDefault="00EE74F9" w:rsidP="00EE74F9">
      <w:pPr>
        <w:pStyle w:val="ListBullet"/>
      </w:pPr>
      <w:r w:rsidRPr="002513B4">
        <w:t>A description of the discrepancy and whether the deviation from HHCAHPS Survey protocol was caused by the vendor or HHA; and</w:t>
      </w:r>
    </w:p>
    <w:p w14:paraId="737ADE1B" w14:textId="77777777" w:rsidR="00EE74F9" w:rsidRPr="002513B4" w:rsidRDefault="00EE74F9" w:rsidP="00EE74F9">
      <w:pPr>
        <w:pStyle w:val="ListBullet"/>
      </w:pPr>
      <w:r w:rsidRPr="002513B4">
        <w:t>Remediation plan for the affected month and actions taken to avoid the situation in the future.</w:t>
      </w:r>
    </w:p>
    <w:p w14:paraId="4BA798FC" w14:textId="77777777" w:rsidR="00EE74F9" w:rsidRPr="002513B4" w:rsidRDefault="00EE74F9" w:rsidP="00EE74F9">
      <w:pPr>
        <w:pStyle w:val="BodyText"/>
        <w:rPr>
          <w:lang w:val="en-US"/>
        </w:rPr>
      </w:pPr>
      <w:r w:rsidRPr="002513B4">
        <w:rPr>
          <w:lang w:val="en-US"/>
        </w:rPr>
        <w:lastRenderedPageBreak/>
        <w:t xml:space="preserve">Vendors are required to submit a DNR </w:t>
      </w:r>
      <w:r w:rsidRPr="002513B4">
        <w:rPr>
          <w:szCs w:val="24"/>
          <w:lang w:val="en-US"/>
        </w:rPr>
        <w:t xml:space="preserve">if an HHA client does not submit a monthly patient information file for a sample month; however, survey vendors do not need to continue submitting DNRs for HHAs that are not submitting monthly patient information files </w:t>
      </w:r>
      <w:r w:rsidRPr="002513B4">
        <w:rPr>
          <w:b/>
          <w:bCs/>
          <w:szCs w:val="24"/>
          <w:lang w:val="en-US"/>
        </w:rPr>
        <w:t xml:space="preserve">once the HHA has failed to submit a monthly patient information file for </w:t>
      </w:r>
      <w:r w:rsidR="00BA4ADB" w:rsidRPr="002513B4">
        <w:rPr>
          <w:b/>
          <w:bCs/>
          <w:szCs w:val="24"/>
          <w:lang w:val="en-US"/>
        </w:rPr>
        <w:t>three</w:t>
      </w:r>
      <w:r w:rsidRPr="002513B4">
        <w:rPr>
          <w:b/>
          <w:bCs/>
          <w:szCs w:val="24"/>
          <w:lang w:val="en-US"/>
        </w:rPr>
        <w:t xml:space="preserve"> consecutive sample months</w:t>
      </w:r>
      <w:r w:rsidRPr="002513B4">
        <w:rPr>
          <w:szCs w:val="24"/>
          <w:lang w:val="en-US"/>
        </w:rPr>
        <w:t xml:space="preserve">. It is the responsibility of the HHCAHPS Survey vendor to track the number of months the HHA has failed to submit a monthly patient information file and to submit a DNR for the first </w:t>
      </w:r>
      <w:r w:rsidR="00BA4ADB" w:rsidRPr="002513B4">
        <w:rPr>
          <w:szCs w:val="24"/>
          <w:lang w:val="en-US"/>
        </w:rPr>
        <w:t>three</w:t>
      </w:r>
      <w:r w:rsidRPr="002513B4">
        <w:rPr>
          <w:szCs w:val="24"/>
          <w:lang w:val="en-US"/>
        </w:rPr>
        <w:t xml:space="preserve"> months that this occurs.</w:t>
      </w:r>
    </w:p>
    <w:p w14:paraId="77A4DA07" w14:textId="77777777" w:rsidR="00EE74F9" w:rsidRPr="002513B4" w:rsidRDefault="00EE74F9" w:rsidP="00EE74F9">
      <w:pPr>
        <w:pStyle w:val="BodyText"/>
        <w:rPr>
          <w:szCs w:val="24"/>
          <w:lang w:val="en-US"/>
        </w:rPr>
      </w:pPr>
      <w:r w:rsidRPr="002513B4">
        <w:rPr>
          <w:lang w:val="en-US"/>
        </w:rPr>
        <w:t xml:space="preserve">Vendors are reminded that </w:t>
      </w:r>
      <w:r w:rsidRPr="002513B4">
        <w:rPr>
          <w:b/>
          <w:bCs/>
          <w:lang w:val="en-US"/>
        </w:rPr>
        <w:t>no DNR is needed</w:t>
      </w:r>
      <w:r w:rsidRPr="002513B4">
        <w:rPr>
          <w:lang w:val="en-US"/>
        </w:rPr>
        <w:t xml:space="preserve"> if an HHA has notified the vendor via submission of a </w:t>
      </w:r>
      <w:r w:rsidR="00BA4ADB" w:rsidRPr="002513B4">
        <w:rPr>
          <w:lang w:val="en-US"/>
        </w:rPr>
        <w:t>zero</w:t>
      </w:r>
      <w:r w:rsidRPr="002513B4">
        <w:rPr>
          <w:lang w:val="en-US"/>
        </w:rPr>
        <w:t xml:space="preserve">-eligible file or an email that it has no eligible patients </w:t>
      </w:r>
      <w:proofErr w:type="gramStart"/>
      <w:r w:rsidRPr="002513B4">
        <w:rPr>
          <w:lang w:val="en-US"/>
        </w:rPr>
        <w:t>in a given</w:t>
      </w:r>
      <w:proofErr w:type="gramEnd"/>
      <w:r w:rsidRPr="002513B4">
        <w:rPr>
          <w:lang w:val="en-US"/>
        </w:rPr>
        <w:t xml:space="preserve"> sample month. If an HHA submits a file to its vendor with no eligible patients, the vendor must </w:t>
      </w:r>
      <w:r w:rsidRPr="002513B4">
        <w:rPr>
          <w:b/>
          <w:bCs/>
          <w:lang w:val="en-US"/>
        </w:rPr>
        <w:t>still</w:t>
      </w:r>
      <w:r w:rsidRPr="002513B4">
        <w:rPr>
          <w:lang w:val="en-US"/>
        </w:rPr>
        <w:t xml:space="preserve"> submit an </w:t>
      </w:r>
      <w:r w:rsidR="00D818AA" w:rsidRPr="002513B4">
        <w:rPr>
          <w:lang w:val="en-US"/>
        </w:rPr>
        <w:t>XML data file</w:t>
      </w:r>
      <w:r w:rsidRPr="002513B4">
        <w:rPr>
          <w:lang w:val="en-US"/>
        </w:rPr>
        <w:t xml:space="preserve"> for that HHA for that sample month indicating that there were no eligible patients. Also, </w:t>
      </w:r>
      <w:r w:rsidRPr="002513B4">
        <w:rPr>
          <w:b/>
          <w:bCs/>
          <w:lang w:val="en-US"/>
        </w:rPr>
        <w:t xml:space="preserve">no DNR is needed </w:t>
      </w:r>
      <w:r w:rsidRPr="002513B4">
        <w:rPr>
          <w:lang w:val="en-US"/>
        </w:rPr>
        <w:t>when vendors submit an email request to CMS/the Coordination Team to initiate the HHCAHPS Survey more than 26 days after the sample month ends. Instead, the email that the vendor submits requesting approval to field the survey will be retained as documentation of the request.</w:t>
      </w:r>
    </w:p>
    <w:p w14:paraId="0A4D409F" w14:textId="0FB714BA" w:rsidR="00EE74F9" w:rsidRPr="002513B4" w:rsidRDefault="00407A1E" w:rsidP="00EE74F9">
      <w:pPr>
        <w:pStyle w:val="Heading4"/>
        <w:rPr>
          <w:lang w:val="en-US"/>
        </w:rPr>
      </w:pPr>
      <w:r w:rsidRPr="002513B4">
        <w:rPr>
          <w:lang w:val="en-US"/>
        </w:rPr>
        <w:t>14.3.1</w:t>
      </w:r>
      <w:r w:rsidR="00634CA6">
        <w:rPr>
          <w:lang w:val="en-US"/>
        </w:rPr>
        <w:tab/>
      </w:r>
      <w:r w:rsidR="00EE74F9" w:rsidRPr="002513B4">
        <w:rPr>
          <w:lang w:val="en-US"/>
        </w:rPr>
        <w:t>Discrepancy Report Review Process</w:t>
      </w:r>
    </w:p>
    <w:p w14:paraId="36823354" w14:textId="77777777" w:rsidR="004774C5" w:rsidRDefault="00EE74F9" w:rsidP="008D28E4">
      <w:pPr>
        <w:pStyle w:val="BodyText"/>
        <w:rPr>
          <w:lang w:val="en-US"/>
        </w:rPr>
      </w:pPr>
      <w:r w:rsidRPr="002513B4">
        <w:rPr>
          <w:lang w:val="en-US"/>
        </w:rPr>
        <w:t xml:space="preserve">The Coordination Team will review the vendor’s </w:t>
      </w:r>
      <w:r w:rsidR="00BA4ADB" w:rsidRPr="002513B4">
        <w:rPr>
          <w:lang w:val="en-US"/>
        </w:rPr>
        <w:t>DNR</w:t>
      </w:r>
      <w:r w:rsidRPr="002513B4">
        <w:rPr>
          <w:lang w:val="en-US"/>
        </w:rPr>
        <w:t xml:space="preserve"> and evaluate the impact of the discrepancy on the publicly reported data. Depending on the type of discrepancy, a footnote may be added to the publicly reported data. The Coordination Team will let the survey vendor know whether additional information is required to either document or correct the discrepancy.</w:t>
      </w:r>
    </w:p>
    <w:p w14:paraId="50B4D3D3" w14:textId="77777777" w:rsidR="00532171" w:rsidRPr="002513B4" w:rsidRDefault="00532171" w:rsidP="008D28E4">
      <w:pPr>
        <w:pStyle w:val="BodyText"/>
        <w:rPr>
          <w:lang w:val="en-US"/>
        </w:rPr>
        <w:sectPr w:rsidR="00532171" w:rsidRPr="002513B4" w:rsidSect="00C03165">
          <w:headerReference w:type="default" r:id="rId159"/>
          <w:pgSz w:w="12240" w:h="15840" w:code="1"/>
          <w:pgMar w:top="1440" w:right="1440" w:bottom="1440" w:left="1440" w:header="720" w:footer="720" w:gutter="0"/>
          <w:cols w:space="720"/>
          <w:titlePg/>
        </w:sectPr>
      </w:pPr>
    </w:p>
    <w:p w14:paraId="442F2B1B" w14:textId="3E540647" w:rsidR="009E6EAA" w:rsidRPr="002513B4" w:rsidRDefault="00130F4E" w:rsidP="008F0558">
      <w:pPr>
        <w:pStyle w:val="AppendixHeadingTOC"/>
        <w:rPr>
          <w:rFonts w:ascii="Verdana" w:hAnsi="Verdana"/>
          <w:smallCaps w:val="0"/>
          <w:u w:val="none"/>
        </w:rPr>
      </w:pPr>
      <w:bookmarkStart w:id="487" w:name="_Toc205821386"/>
      <w:r w:rsidRPr="002513B4">
        <w:rPr>
          <w:rFonts w:ascii="Verdana" w:hAnsi="Verdana"/>
          <w:smallCaps w:val="0"/>
          <w:u w:val="none"/>
        </w:rPr>
        <w:lastRenderedPageBreak/>
        <w:t>Appendix A:</w:t>
      </w:r>
      <w:r w:rsidRPr="002513B4">
        <w:rPr>
          <w:rFonts w:ascii="Verdana" w:hAnsi="Verdana"/>
          <w:smallCaps w:val="0"/>
          <w:u w:val="none"/>
        </w:rPr>
        <w:br/>
      </w:r>
      <w:r w:rsidRPr="002513B4">
        <w:rPr>
          <w:rFonts w:ascii="Verdana" w:hAnsi="Verdana"/>
          <w:smallCaps w:val="0"/>
          <w:u w:val="none"/>
        </w:rPr>
        <w:br/>
        <w:t>HHCAHPS Resources and Supplemental Materials</w:t>
      </w:r>
      <w:bookmarkEnd w:id="487"/>
    </w:p>
    <w:p w14:paraId="60958266" w14:textId="77777777" w:rsidR="004774C5" w:rsidRPr="002513B4" w:rsidRDefault="004774C5">
      <w:pPr>
        <w:spacing w:line="240" w:lineRule="auto"/>
        <w:rPr>
          <w:lang w:eastAsia="x-none"/>
        </w:rPr>
      </w:pPr>
      <w:r w:rsidRPr="002513B4">
        <w:br w:type="page"/>
      </w:r>
    </w:p>
    <w:p w14:paraId="1AB186F5" w14:textId="6AA51757" w:rsidR="00101461" w:rsidRPr="002513B4" w:rsidRDefault="00101461" w:rsidP="00557FF3">
      <w:pPr>
        <w:pStyle w:val="BodyTextAppA-Bold"/>
        <w:spacing w:after="120" w:line="240" w:lineRule="auto"/>
        <w:rPr>
          <w:rFonts w:ascii="Verdana" w:hAnsi="Verdana"/>
          <w:szCs w:val="20"/>
        </w:rPr>
      </w:pPr>
      <w:r w:rsidRPr="002513B4">
        <w:rPr>
          <w:rFonts w:ascii="Verdana" w:hAnsi="Verdana"/>
          <w:szCs w:val="20"/>
        </w:rPr>
        <w:lastRenderedPageBreak/>
        <w:t>To view the resources below, please select the link.</w:t>
      </w:r>
    </w:p>
    <w:p w14:paraId="555E73F5" w14:textId="4C862AEF" w:rsidR="00101461" w:rsidRPr="002513B4" w:rsidRDefault="00101461" w:rsidP="005446D5">
      <w:pPr>
        <w:pStyle w:val="AppBullet10"/>
      </w:pPr>
      <w:r w:rsidRPr="002513B4">
        <w:rPr>
          <w:b/>
          <w:bCs/>
        </w:rPr>
        <w:t>XML Data File Layouts</w:t>
      </w:r>
      <w:r w:rsidR="00D965E3" w:rsidRPr="002513B4">
        <w:rPr>
          <w:bCs/>
        </w:rPr>
        <w:t xml:space="preserve">, available on the </w:t>
      </w:r>
      <w:hyperlink r:id="rId160" w:history="1">
        <w:r w:rsidR="00D965E3" w:rsidRPr="002513B4">
          <w:rPr>
            <w:rStyle w:val="Hyperlink"/>
            <w:rFonts w:cs="Arial"/>
            <w:bCs/>
          </w:rPr>
          <w:t>Data Submission Resources web</w:t>
        </w:r>
        <w:r w:rsidR="00DB4C5C" w:rsidRPr="002513B4">
          <w:rPr>
            <w:rStyle w:val="Hyperlink"/>
            <w:rFonts w:cs="Arial"/>
            <w:bCs/>
          </w:rPr>
          <w:t xml:space="preserve"> </w:t>
        </w:r>
        <w:r w:rsidR="00D965E3" w:rsidRPr="002513B4">
          <w:rPr>
            <w:rStyle w:val="Hyperlink"/>
            <w:rFonts w:cs="Arial"/>
            <w:bCs/>
          </w:rPr>
          <w:t>page</w:t>
        </w:r>
      </w:hyperlink>
      <w:r w:rsidR="00D965E3" w:rsidRPr="002513B4">
        <w:rPr>
          <w:bCs/>
        </w:rPr>
        <w:t> </w:t>
      </w:r>
      <w:r w:rsidR="00D965E3" w:rsidRPr="002513B4">
        <w:rPr>
          <w:bCs/>
          <w:noProof/>
        </w:rPr>
        <w:drawing>
          <wp:inline distT="0" distB="0" distL="0" distR="0" wp14:anchorId="2F50ED0B" wp14:editId="55DDEA08">
            <wp:extent cx="95250" cy="95250"/>
            <wp:effectExtent l="0" t="0" r="0" b="0"/>
            <wp:docPr id="881775935"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a:extLst>
                        <a:ext uri="{C183D7F6-B498-43B3-948B-1728B52AA6E4}">
                          <adec:decorative xmlns:adec="http://schemas.microsoft.com/office/drawing/2017/decorative" val="1"/>
                        </a:ext>
                      </a:extLs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D965E3" w:rsidRPr="002513B4">
        <w:rPr>
          <w:bCs/>
        </w:rPr>
        <w:t xml:space="preserve"> of the HHCAHPS website</w:t>
      </w:r>
    </w:p>
    <w:p w14:paraId="23934EB4" w14:textId="77777777" w:rsidR="00101461" w:rsidRPr="002513B4" w:rsidRDefault="00101461" w:rsidP="005446D5">
      <w:pPr>
        <w:pStyle w:val="AppBullt2"/>
        <w:rPr>
          <w:lang w:val="en-US"/>
        </w:rPr>
      </w:pPr>
      <w:r w:rsidRPr="002513B4">
        <w:rPr>
          <w:lang w:val="en-US"/>
        </w:rPr>
        <w:t>Standard Header Record</w:t>
      </w:r>
    </w:p>
    <w:p w14:paraId="653F1AEB" w14:textId="77777777" w:rsidR="00101461" w:rsidRPr="002513B4" w:rsidRDefault="00101461" w:rsidP="005446D5">
      <w:pPr>
        <w:pStyle w:val="AppBullt2"/>
        <w:rPr>
          <w:lang w:val="en-US"/>
        </w:rPr>
      </w:pPr>
      <w:r w:rsidRPr="002513B4">
        <w:rPr>
          <w:lang w:val="en-US"/>
        </w:rPr>
        <w:t>Disproportionate Stratified Random Sampling (DSRS)</w:t>
      </w:r>
    </w:p>
    <w:p w14:paraId="19587A16" w14:textId="4BF2CADD" w:rsidR="00101461" w:rsidRPr="002513B4" w:rsidRDefault="00101461" w:rsidP="005446D5">
      <w:pPr>
        <w:pStyle w:val="AppBullet10"/>
      </w:pPr>
      <w:hyperlink r:id="rId161" w:history="1">
        <w:r w:rsidRPr="002513B4">
          <w:rPr>
            <w:rStyle w:val="Hyperlink"/>
            <w:rFonts w:cs="Arial"/>
            <w:b/>
            <w:bCs/>
          </w:rPr>
          <w:t>Model Quality Assurance Plan (QAP)</w:t>
        </w:r>
      </w:hyperlink>
      <w:r w:rsidR="00D965E3" w:rsidRPr="002513B4">
        <w:t> </w:t>
      </w:r>
      <w:r w:rsidR="00D965E3" w:rsidRPr="002513B4">
        <w:rPr>
          <w:noProof/>
        </w:rPr>
        <w:drawing>
          <wp:inline distT="0" distB="0" distL="0" distR="0" wp14:anchorId="3C5D53AE" wp14:editId="63601A6B">
            <wp:extent cx="95250" cy="95250"/>
            <wp:effectExtent l="0" t="0" r="0" b="0"/>
            <wp:docPr id="72434305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p>
    <w:p w14:paraId="6300E7BE" w14:textId="5229E758" w:rsidR="00101461" w:rsidRPr="002513B4" w:rsidRDefault="00101461" w:rsidP="00990A21">
      <w:pPr>
        <w:pStyle w:val="BodyTextAppA-Bold"/>
        <w:spacing w:before="120" w:after="120" w:line="240" w:lineRule="auto"/>
        <w:rPr>
          <w:rFonts w:ascii="Verdana" w:hAnsi="Verdana"/>
          <w:szCs w:val="20"/>
        </w:rPr>
      </w:pPr>
      <w:r w:rsidRPr="002513B4">
        <w:rPr>
          <w:rFonts w:ascii="Verdana" w:hAnsi="Verdana"/>
          <w:szCs w:val="20"/>
        </w:rPr>
        <w:t xml:space="preserve">The survey materials and resources listed below may be found on the </w:t>
      </w:r>
      <w:hyperlink r:id="rId162" w:history="1">
        <w:r w:rsidR="00D965E3" w:rsidRPr="002513B4">
          <w:rPr>
            <w:rStyle w:val="Hyperlink"/>
            <w:rFonts w:ascii="Verdana" w:hAnsi="Verdana" w:cs="Arial"/>
            <w:szCs w:val="20"/>
          </w:rPr>
          <w:t>Survey and Protocols web</w:t>
        </w:r>
        <w:r w:rsidR="00DB4C5C" w:rsidRPr="002513B4">
          <w:rPr>
            <w:rStyle w:val="Hyperlink"/>
            <w:rFonts w:ascii="Verdana" w:hAnsi="Verdana" w:cs="Arial"/>
            <w:szCs w:val="20"/>
          </w:rPr>
          <w:t xml:space="preserve"> </w:t>
        </w:r>
        <w:r w:rsidR="00D965E3" w:rsidRPr="002513B4">
          <w:rPr>
            <w:rStyle w:val="Hyperlink"/>
            <w:rFonts w:ascii="Verdana" w:hAnsi="Verdana" w:cs="Arial"/>
            <w:szCs w:val="20"/>
          </w:rPr>
          <w:t>page</w:t>
        </w:r>
      </w:hyperlink>
      <w:r w:rsidR="00D965E3" w:rsidRPr="002513B4">
        <w:t> </w:t>
      </w:r>
      <w:r w:rsidR="00D965E3" w:rsidRPr="002513B4">
        <w:rPr>
          <w:noProof/>
        </w:rPr>
        <w:drawing>
          <wp:inline distT="0" distB="0" distL="0" distR="0" wp14:anchorId="29B625FA" wp14:editId="4BDBA09E">
            <wp:extent cx="95250" cy="95250"/>
            <wp:effectExtent l="0" t="0" r="0" b="0"/>
            <wp:docPr id="141881537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9256" name="Graphic 531759256">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5250" cy="95250"/>
                    </a:xfrm>
                    <a:prstGeom prst="rect">
                      <a:avLst/>
                    </a:prstGeom>
                  </pic:spPr>
                </pic:pic>
              </a:graphicData>
            </a:graphic>
          </wp:inline>
        </w:drawing>
      </w:r>
      <w:r w:rsidRPr="002513B4">
        <w:rPr>
          <w:rFonts w:ascii="Verdana" w:hAnsi="Verdana"/>
          <w:szCs w:val="20"/>
        </w:rPr>
        <w:t xml:space="preserve"> of the HHCAHPS Survey website.</w:t>
      </w:r>
    </w:p>
    <w:p w14:paraId="12DA1F89" w14:textId="3881B4C6" w:rsidR="00130F4E" w:rsidRPr="002513B4" w:rsidRDefault="00130F4E" w:rsidP="00453CB0">
      <w:pPr>
        <w:pStyle w:val="AppBullet10"/>
        <w:rPr>
          <w:b/>
          <w:bCs/>
        </w:rPr>
      </w:pPr>
      <w:r w:rsidRPr="002513B4">
        <w:rPr>
          <w:b/>
          <w:bCs/>
        </w:rPr>
        <w:t>English Survey Materials</w:t>
      </w:r>
    </w:p>
    <w:p w14:paraId="54F879C0" w14:textId="77777777" w:rsidR="00130F4E" w:rsidRPr="002513B4" w:rsidRDefault="00130F4E" w:rsidP="007A7575">
      <w:pPr>
        <w:pStyle w:val="AppBullt2"/>
        <w:rPr>
          <w:lang w:val="en-US"/>
        </w:rPr>
      </w:pPr>
      <w:r w:rsidRPr="002513B4">
        <w:rPr>
          <w:lang w:val="en-US"/>
        </w:rPr>
        <w:t>Sample Cover Letter for First Questionnaire Mailing</w:t>
      </w:r>
    </w:p>
    <w:p w14:paraId="5B639051" w14:textId="77777777" w:rsidR="00130F4E" w:rsidRPr="002513B4" w:rsidRDefault="00130F4E" w:rsidP="007A7575">
      <w:pPr>
        <w:pStyle w:val="AppBullt2"/>
        <w:rPr>
          <w:lang w:val="en-US"/>
        </w:rPr>
      </w:pPr>
      <w:r w:rsidRPr="002513B4">
        <w:rPr>
          <w:lang w:val="en-US"/>
        </w:rPr>
        <w:t>Sample Cover Letter for Second Questionnaire Mailing</w:t>
      </w:r>
    </w:p>
    <w:p w14:paraId="15A45DE7" w14:textId="77777777" w:rsidR="00130F4E" w:rsidRPr="002513B4" w:rsidRDefault="00130F4E" w:rsidP="007A7575">
      <w:pPr>
        <w:pStyle w:val="AppBullt2"/>
        <w:rPr>
          <w:lang w:val="en-US"/>
        </w:rPr>
      </w:pPr>
      <w:r w:rsidRPr="002513B4">
        <w:rPr>
          <w:lang w:val="en-US"/>
        </w:rPr>
        <w:t>Mail Questionnaire (standard version)</w:t>
      </w:r>
    </w:p>
    <w:p w14:paraId="3BAC3EFE" w14:textId="090018A3" w:rsidR="00130F4E" w:rsidRPr="002513B4" w:rsidRDefault="00130F4E" w:rsidP="007A7575">
      <w:pPr>
        <w:pStyle w:val="AppBullt2"/>
        <w:rPr>
          <w:lang w:val="en-US"/>
        </w:rPr>
      </w:pPr>
      <w:r w:rsidRPr="002513B4">
        <w:rPr>
          <w:lang w:val="en-US"/>
        </w:rPr>
        <w:t>Telephone Interview Script</w:t>
      </w:r>
    </w:p>
    <w:p w14:paraId="59F96AF1" w14:textId="77777777" w:rsidR="00130F4E" w:rsidRPr="002513B4" w:rsidRDefault="00130F4E" w:rsidP="007A7575">
      <w:pPr>
        <w:pStyle w:val="AppBullt2"/>
        <w:rPr>
          <w:lang w:val="en-US"/>
        </w:rPr>
      </w:pPr>
      <w:r w:rsidRPr="002513B4">
        <w:rPr>
          <w:lang w:val="en-US"/>
        </w:rPr>
        <w:t xml:space="preserve">Proxy Telephone Interview Script </w:t>
      </w:r>
    </w:p>
    <w:p w14:paraId="201B7231" w14:textId="77777777" w:rsidR="00130F4E" w:rsidRPr="002513B4" w:rsidRDefault="00130F4E" w:rsidP="00990A21">
      <w:pPr>
        <w:pStyle w:val="AppBullet10"/>
        <w:rPr>
          <w:b/>
          <w:bCs/>
        </w:rPr>
      </w:pPr>
      <w:r w:rsidRPr="002513B4">
        <w:rPr>
          <w:b/>
          <w:bCs/>
        </w:rPr>
        <w:t>Spanish Survey Materials</w:t>
      </w:r>
    </w:p>
    <w:p w14:paraId="57F8762D" w14:textId="77777777" w:rsidR="00130F4E" w:rsidRPr="002513B4" w:rsidRDefault="00130F4E" w:rsidP="007A7575">
      <w:pPr>
        <w:pStyle w:val="AppBullt2"/>
        <w:rPr>
          <w:lang w:val="en-US"/>
        </w:rPr>
      </w:pPr>
      <w:r w:rsidRPr="002513B4">
        <w:rPr>
          <w:lang w:val="en-US"/>
        </w:rPr>
        <w:t>Sample Cover Letter for First Questionnaire Mailing</w:t>
      </w:r>
    </w:p>
    <w:p w14:paraId="71DA74E9" w14:textId="77777777" w:rsidR="00130F4E" w:rsidRPr="002513B4" w:rsidRDefault="00130F4E" w:rsidP="007A7575">
      <w:pPr>
        <w:pStyle w:val="AppBullt2"/>
        <w:rPr>
          <w:lang w:val="en-US"/>
        </w:rPr>
      </w:pPr>
      <w:r w:rsidRPr="002513B4">
        <w:rPr>
          <w:lang w:val="en-US"/>
        </w:rPr>
        <w:t>Sample Cover Letter for Second Questionnaire Mailing</w:t>
      </w:r>
    </w:p>
    <w:p w14:paraId="64C4034E" w14:textId="77777777" w:rsidR="00130F4E" w:rsidRPr="002513B4" w:rsidRDefault="00130F4E" w:rsidP="007A7575">
      <w:pPr>
        <w:pStyle w:val="AppBullt2"/>
        <w:rPr>
          <w:lang w:val="en-US"/>
        </w:rPr>
      </w:pPr>
      <w:r w:rsidRPr="002513B4">
        <w:rPr>
          <w:lang w:val="en-US"/>
        </w:rPr>
        <w:t>Mail Questionnaire (standard version)</w:t>
      </w:r>
    </w:p>
    <w:p w14:paraId="2D4896F6" w14:textId="731B8BF2" w:rsidR="00130F4E" w:rsidRPr="002513B4" w:rsidRDefault="00130F4E" w:rsidP="007A7575">
      <w:pPr>
        <w:pStyle w:val="AppBullt2"/>
        <w:rPr>
          <w:lang w:val="en-US"/>
        </w:rPr>
      </w:pPr>
      <w:r w:rsidRPr="002513B4">
        <w:rPr>
          <w:lang w:val="en-US"/>
        </w:rPr>
        <w:t>Telephone Interview Script</w:t>
      </w:r>
    </w:p>
    <w:p w14:paraId="54D43881" w14:textId="77777777" w:rsidR="00130F4E" w:rsidRPr="002513B4" w:rsidRDefault="00130F4E" w:rsidP="007A7575">
      <w:pPr>
        <w:pStyle w:val="AppBullt2"/>
        <w:rPr>
          <w:lang w:val="en-US"/>
        </w:rPr>
      </w:pPr>
      <w:r w:rsidRPr="002513B4">
        <w:rPr>
          <w:lang w:val="en-US"/>
        </w:rPr>
        <w:t xml:space="preserve">Proxy Telephone Interview Script </w:t>
      </w:r>
    </w:p>
    <w:p w14:paraId="4B5FA7AD" w14:textId="77777777" w:rsidR="00130F4E" w:rsidRPr="002513B4" w:rsidRDefault="00130F4E" w:rsidP="007A7575">
      <w:pPr>
        <w:pStyle w:val="AppBullet10"/>
        <w:rPr>
          <w:b/>
          <w:bCs/>
        </w:rPr>
      </w:pPr>
      <w:r w:rsidRPr="002513B4">
        <w:rPr>
          <w:b/>
          <w:bCs/>
        </w:rPr>
        <w:t>Simplified Chinese Survey Materials</w:t>
      </w:r>
    </w:p>
    <w:p w14:paraId="2FB076A2" w14:textId="77777777" w:rsidR="00130F4E" w:rsidRPr="002513B4" w:rsidRDefault="00130F4E" w:rsidP="007A7575">
      <w:pPr>
        <w:pStyle w:val="AppBullt2"/>
        <w:rPr>
          <w:lang w:val="en-US"/>
        </w:rPr>
      </w:pPr>
      <w:r w:rsidRPr="002513B4">
        <w:rPr>
          <w:lang w:val="en-US"/>
        </w:rPr>
        <w:t>Sample Cover Letter for First Questionnaire Mailing</w:t>
      </w:r>
    </w:p>
    <w:p w14:paraId="1FC3F613" w14:textId="77777777" w:rsidR="00130F4E" w:rsidRPr="002513B4" w:rsidRDefault="00130F4E" w:rsidP="007A7575">
      <w:pPr>
        <w:pStyle w:val="AppBullt2"/>
        <w:rPr>
          <w:lang w:val="en-US"/>
        </w:rPr>
      </w:pPr>
      <w:r w:rsidRPr="002513B4">
        <w:rPr>
          <w:lang w:val="en-US"/>
        </w:rPr>
        <w:t>Sample Cover Letter for Second Questionnaire Mailing</w:t>
      </w:r>
    </w:p>
    <w:p w14:paraId="3BC40CD8" w14:textId="77777777" w:rsidR="00130F4E" w:rsidRPr="002513B4" w:rsidRDefault="00130F4E" w:rsidP="007A7575">
      <w:pPr>
        <w:pStyle w:val="AppBullt2"/>
        <w:rPr>
          <w:lang w:val="en-US"/>
        </w:rPr>
      </w:pPr>
      <w:r w:rsidRPr="002513B4">
        <w:rPr>
          <w:lang w:val="en-US"/>
        </w:rPr>
        <w:t>Mail Questionnaire (standard version)</w:t>
      </w:r>
    </w:p>
    <w:p w14:paraId="372FB4D8" w14:textId="77777777" w:rsidR="00130F4E" w:rsidRPr="002513B4" w:rsidRDefault="00130F4E" w:rsidP="007A7575">
      <w:pPr>
        <w:pStyle w:val="AppBullet10"/>
        <w:rPr>
          <w:b/>
          <w:bCs/>
        </w:rPr>
      </w:pPr>
      <w:r w:rsidRPr="002513B4">
        <w:rPr>
          <w:b/>
          <w:bCs/>
        </w:rPr>
        <w:t>Traditional Chinese Survey Materials</w:t>
      </w:r>
    </w:p>
    <w:p w14:paraId="3C398C80" w14:textId="77777777" w:rsidR="00130F4E" w:rsidRPr="002513B4" w:rsidRDefault="00130F4E" w:rsidP="007A7575">
      <w:pPr>
        <w:pStyle w:val="AppBullt2"/>
        <w:rPr>
          <w:lang w:val="en-US"/>
        </w:rPr>
      </w:pPr>
      <w:r w:rsidRPr="002513B4">
        <w:rPr>
          <w:lang w:val="en-US"/>
        </w:rPr>
        <w:t>Sample Cover Letter for First Questionnaire Mailing</w:t>
      </w:r>
    </w:p>
    <w:p w14:paraId="06CFCFAA" w14:textId="77777777" w:rsidR="00130F4E" w:rsidRPr="002513B4" w:rsidRDefault="00130F4E" w:rsidP="007A7575">
      <w:pPr>
        <w:pStyle w:val="AppBullt2"/>
        <w:rPr>
          <w:lang w:val="en-US"/>
        </w:rPr>
      </w:pPr>
      <w:r w:rsidRPr="002513B4">
        <w:rPr>
          <w:lang w:val="en-US"/>
        </w:rPr>
        <w:t>Sample Cover Letter for Second Questionnaire Mailing</w:t>
      </w:r>
    </w:p>
    <w:p w14:paraId="6D5E52F8" w14:textId="77777777" w:rsidR="00130F4E" w:rsidRPr="002513B4" w:rsidRDefault="00130F4E" w:rsidP="007A7575">
      <w:pPr>
        <w:pStyle w:val="AppBullt2"/>
        <w:rPr>
          <w:lang w:val="en-US"/>
        </w:rPr>
      </w:pPr>
      <w:r w:rsidRPr="002513B4">
        <w:rPr>
          <w:lang w:val="en-US"/>
        </w:rPr>
        <w:t>Mail Questionnaire (standard version)</w:t>
      </w:r>
    </w:p>
    <w:p w14:paraId="0DE768C2" w14:textId="77777777" w:rsidR="00130F4E" w:rsidRPr="002513B4" w:rsidRDefault="00130F4E" w:rsidP="006D4B6B">
      <w:pPr>
        <w:pStyle w:val="AppBullet10"/>
        <w:rPr>
          <w:b/>
          <w:bCs/>
        </w:rPr>
      </w:pPr>
      <w:r w:rsidRPr="002513B4">
        <w:rPr>
          <w:b/>
          <w:bCs/>
        </w:rPr>
        <w:t>Russian Survey Materials</w:t>
      </w:r>
    </w:p>
    <w:p w14:paraId="01AA8544" w14:textId="77777777" w:rsidR="00130F4E" w:rsidRPr="002513B4" w:rsidRDefault="00130F4E" w:rsidP="006D4B6B">
      <w:pPr>
        <w:pStyle w:val="AppBullt2"/>
        <w:rPr>
          <w:lang w:val="en-US"/>
        </w:rPr>
      </w:pPr>
      <w:r w:rsidRPr="002513B4">
        <w:rPr>
          <w:lang w:val="en-US"/>
        </w:rPr>
        <w:t>Sample Cover Letter for First Questionnaire Mailing</w:t>
      </w:r>
    </w:p>
    <w:p w14:paraId="05C72A51" w14:textId="77777777" w:rsidR="00130F4E" w:rsidRPr="002513B4" w:rsidRDefault="00130F4E" w:rsidP="006D4B6B">
      <w:pPr>
        <w:pStyle w:val="AppBullt2"/>
        <w:rPr>
          <w:lang w:val="en-US"/>
        </w:rPr>
      </w:pPr>
      <w:r w:rsidRPr="002513B4">
        <w:rPr>
          <w:lang w:val="en-US"/>
        </w:rPr>
        <w:t>Sample Cover Letter for Second Questionnaire Mailing</w:t>
      </w:r>
    </w:p>
    <w:p w14:paraId="44AF2A23" w14:textId="77777777" w:rsidR="00130F4E" w:rsidRPr="002513B4" w:rsidRDefault="00130F4E" w:rsidP="006D4B6B">
      <w:pPr>
        <w:pStyle w:val="AppBullt2"/>
        <w:rPr>
          <w:lang w:val="en-US"/>
        </w:rPr>
      </w:pPr>
      <w:r w:rsidRPr="002513B4">
        <w:rPr>
          <w:lang w:val="en-US"/>
        </w:rPr>
        <w:t>Mail Questionnaire (standard version)</w:t>
      </w:r>
    </w:p>
    <w:p w14:paraId="36BFE462" w14:textId="023BF64C" w:rsidR="00130F4E" w:rsidRPr="002513B4" w:rsidRDefault="00130F4E" w:rsidP="006D4B6B">
      <w:pPr>
        <w:pStyle w:val="AppBullt2"/>
        <w:rPr>
          <w:lang w:val="en-US"/>
        </w:rPr>
      </w:pPr>
      <w:r w:rsidRPr="002513B4">
        <w:rPr>
          <w:lang w:val="en-US"/>
        </w:rPr>
        <w:t>Telephone Interview Script</w:t>
      </w:r>
    </w:p>
    <w:p w14:paraId="7AA959FE" w14:textId="77777777" w:rsidR="00130F4E" w:rsidRPr="002513B4" w:rsidRDefault="00130F4E" w:rsidP="006D4B6B">
      <w:pPr>
        <w:pStyle w:val="AppBullt2"/>
        <w:rPr>
          <w:lang w:val="en-US"/>
        </w:rPr>
      </w:pPr>
      <w:r w:rsidRPr="002513B4">
        <w:rPr>
          <w:lang w:val="en-US"/>
        </w:rPr>
        <w:t xml:space="preserve">Proxy Telephone Interview Script </w:t>
      </w:r>
    </w:p>
    <w:p w14:paraId="4A7350A0" w14:textId="77777777" w:rsidR="00130F4E" w:rsidRPr="002513B4" w:rsidRDefault="00130F4E" w:rsidP="006D4B6B">
      <w:pPr>
        <w:pStyle w:val="AppBullet10"/>
        <w:rPr>
          <w:b/>
          <w:bCs/>
        </w:rPr>
      </w:pPr>
      <w:r w:rsidRPr="002513B4">
        <w:rPr>
          <w:b/>
          <w:bCs/>
        </w:rPr>
        <w:t>Vietnamese Survey Materials</w:t>
      </w:r>
    </w:p>
    <w:p w14:paraId="44E8ED7B" w14:textId="77777777" w:rsidR="00130F4E" w:rsidRPr="002513B4" w:rsidRDefault="00130F4E" w:rsidP="006D4B6B">
      <w:pPr>
        <w:pStyle w:val="AppBullt2"/>
        <w:rPr>
          <w:lang w:val="en-US"/>
        </w:rPr>
      </w:pPr>
      <w:r w:rsidRPr="002513B4">
        <w:rPr>
          <w:lang w:val="en-US"/>
        </w:rPr>
        <w:t>Sample Cover Letter for First Questionnaire Mailing</w:t>
      </w:r>
    </w:p>
    <w:p w14:paraId="36EB5BFB" w14:textId="77777777" w:rsidR="00130F4E" w:rsidRPr="002513B4" w:rsidRDefault="00130F4E" w:rsidP="006D4B6B">
      <w:pPr>
        <w:pStyle w:val="AppBullt2"/>
        <w:rPr>
          <w:lang w:val="en-US"/>
        </w:rPr>
      </w:pPr>
      <w:r w:rsidRPr="002513B4">
        <w:rPr>
          <w:lang w:val="en-US"/>
        </w:rPr>
        <w:t>Sample Cover Letter for Second Questionnaire Mailing</w:t>
      </w:r>
    </w:p>
    <w:p w14:paraId="7E346CEB" w14:textId="77777777" w:rsidR="00130F4E" w:rsidRPr="002513B4" w:rsidRDefault="00130F4E" w:rsidP="006D4B6B">
      <w:pPr>
        <w:pStyle w:val="AppBullt2"/>
        <w:rPr>
          <w:lang w:val="en-US"/>
        </w:rPr>
      </w:pPr>
      <w:r w:rsidRPr="002513B4">
        <w:rPr>
          <w:lang w:val="en-US"/>
        </w:rPr>
        <w:t>Mail Questionnaire (standard version)</w:t>
      </w:r>
    </w:p>
    <w:p w14:paraId="0259A44B" w14:textId="51B60F28" w:rsidR="00130F4E" w:rsidRPr="002513B4" w:rsidRDefault="00D24A5E" w:rsidP="006D4B6B">
      <w:pPr>
        <w:pStyle w:val="AppBullt2"/>
        <w:rPr>
          <w:lang w:val="en-US"/>
        </w:rPr>
      </w:pPr>
      <w:r w:rsidRPr="002513B4">
        <w:rPr>
          <w:lang w:val="en-US"/>
        </w:rPr>
        <w:t>Telephone</w:t>
      </w:r>
      <w:r w:rsidR="00130F4E" w:rsidRPr="002513B4">
        <w:rPr>
          <w:lang w:val="en-US"/>
        </w:rPr>
        <w:t xml:space="preserve"> Interview Script</w:t>
      </w:r>
    </w:p>
    <w:p w14:paraId="440075A9" w14:textId="77777777" w:rsidR="00130F4E" w:rsidRPr="002513B4" w:rsidRDefault="00130F4E" w:rsidP="00990A21">
      <w:pPr>
        <w:pStyle w:val="AppBullt2"/>
        <w:rPr>
          <w:lang w:val="en-US"/>
        </w:rPr>
      </w:pPr>
      <w:r w:rsidRPr="002513B4">
        <w:rPr>
          <w:lang w:val="en-US"/>
        </w:rPr>
        <w:t xml:space="preserve">Proxy Telephone Interview Script </w:t>
      </w:r>
    </w:p>
    <w:p w14:paraId="29F74A1C" w14:textId="77777777" w:rsidR="00130F4E" w:rsidRPr="002513B4" w:rsidRDefault="00130F4E" w:rsidP="00990A21">
      <w:pPr>
        <w:pStyle w:val="AppBullet10"/>
        <w:rPr>
          <w:b/>
          <w:bCs/>
        </w:rPr>
      </w:pPr>
      <w:r w:rsidRPr="002513B4">
        <w:rPr>
          <w:b/>
          <w:bCs/>
        </w:rPr>
        <w:lastRenderedPageBreak/>
        <w:t>Armenian Survey Materials</w:t>
      </w:r>
    </w:p>
    <w:p w14:paraId="0EE2DAC2" w14:textId="77777777" w:rsidR="00130F4E" w:rsidRPr="002513B4" w:rsidRDefault="00130F4E" w:rsidP="00990A21">
      <w:pPr>
        <w:pStyle w:val="AppBullt2"/>
        <w:rPr>
          <w:lang w:val="en-US"/>
        </w:rPr>
      </w:pPr>
      <w:r w:rsidRPr="002513B4">
        <w:rPr>
          <w:lang w:val="en-US"/>
        </w:rPr>
        <w:t>Sample Cover Letter for First Questionnaire Mailing</w:t>
      </w:r>
    </w:p>
    <w:p w14:paraId="2FEEFC00" w14:textId="77777777" w:rsidR="00130F4E" w:rsidRPr="002513B4" w:rsidRDefault="00130F4E" w:rsidP="00990A21">
      <w:pPr>
        <w:pStyle w:val="AppBullt2"/>
        <w:rPr>
          <w:lang w:val="en-US"/>
        </w:rPr>
      </w:pPr>
      <w:r w:rsidRPr="002513B4">
        <w:rPr>
          <w:lang w:val="en-US"/>
        </w:rPr>
        <w:t>Sample Cover Letter for Second Questionnaire Mailing</w:t>
      </w:r>
    </w:p>
    <w:p w14:paraId="7E465653" w14:textId="77777777" w:rsidR="00130F4E" w:rsidRPr="002513B4" w:rsidRDefault="00130F4E" w:rsidP="00990A21">
      <w:pPr>
        <w:pStyle w:val="AppBullt2"/>
        <w:rPr>
          <w:lang w:val="en-US"/>
        </w:rPr>
      </w:pPr>
      <w:r w:rsidRPr="002513B4">
        <w:rPr>
          <w:lang w:val="en-US"/>
        </w:rPr>
        <w:t>Mail Questionnaire (standard version)</w:t>
      </w:r>
    </w:p>
    <w:p w14:paraId="26A036C6" w14:textId="77777777" w:rsidR="00130F4E" w:rsidRPr="002513B4" w:rsidRDefault="00130F4E" w:rsidP="00990A21">
      <w:pPr>
        <w:pStyle w:val="AppBullet10"/>
        <w:rPr>
          <w:b/>
          <w:bCs/>
        </w:rPr>
      </w:pPr>
      <w:r w:rsidRPr="002513B4">
        <w:rPr>
          <w:b/>
          <w:bCs/>
        </w:rPr>
        <w:t>OMB Paperwork Reduction Act Language</w:t>
      </w:r>
    </w:p>
    <w:p w14:paraId="6B6218AD" w14:textId="77777777" w:rsidR="00130F4E" w:rsidRPr="002513B4" w:rsidRDefault="00130F4E" w:rsidP="002C2B23">
      <w:pPr>
        <w:pStyle w:val="AppBullt2"/>
        <w:rPr>
          <w:lang w:val="en-US"/>
        </w:rPr>
      </w:pPr>
      <w:r w:rsidRPr="002513B4">
        <w:rPr>
          <w:lang w:val="en-US"/>
        </w:rPr>
        <w:t>English</w:t>
      </w:r>
    </w:p>
    <w:p w14:paraId="2D59A161" w14:textId="77777777" w:rsidR="00130F4E" w:rsidRPr="002513B4" w:rsidRDefault="00130F4E" w:rsidP="002C2B23">
      <w:pPr>
        <w:pStyle w:val="AppBullt2"/>
        <w:rPr>
          <w:lang w:val="en-US"/>
        </w:rPr>
      </w:pPr>
      <w:r w:rsidRPr="002513B4">
        <w:rPr>
          <w:lang w:val="en-US"/>
        </w:rPr>
        <w:t>Spanish</w:t>
      </w:r>
    </w:p>
    <w:p w14:paraId="6290DBE1" w14:textId="77777777" w:rsidR="00130F4E" w:rsidRPr="002513B4" w:rsidRDefault="00130F4E" w:rsidP="002C2B23">
      <w:pPr>
        <w:pStyle w:val="AppBullt2"/>
        <w:rPr>
          <w:lang w:val="en-US"/>
        </w:rPr>
      </w:pPr>
      <w:r w:rsidRPr="002513B4">
        <w:rPr>
          <w:lang w:val="en-US"/>
        </w:rPr>
        <w:t>Simplified Chinese</w:t>
      </w:r>
    </w:p>
    <w:p w14:paraId="6A50382D" w14:textId="77777777" w:rsidR="00130F4E" w:rsidRPr="002513B4" w:rsidRDefault="00130F4E" w:rsidP="002C2B23">
      <w:pPr>
        <w:pStyle w:val="AppBullt2"/>
        <w:rPr>
          <w:lang w:val="en-US"/>
        </w:rPr>
      </w:pPr>
      <w:r w:rsidRPr="002513B4">
        <w:rPr>
          <w:lang w:val="en-US"/>
        </w:rPr>
        <w:t>Traditional Chinese</w:t>
      </w:r>
    </w:p>
    <w:p w14:paraId="228816B4" w14:textId="77777777" w:rsidR="00130F4E" w:rsidRPr="002513B4" w:rsidRDefault="00130F4E" w:rsidP="002C2B23">
      <w:pPr>
        <w:pStyle w:val="AppBullt2"/>
        <w:rPr>
          <w:lang w:val="en-US"/>
        </w:rPr>
      </w:pPr>
      <w:r w:rsidRPr="002513B4">
        <w:rPr>
          <w:lang w:val="en-US"/>
        </w:rPr>
        <w:t>Russian</w:t>
      </w:r>
    </w:p>
    <w:p w14:paraId="59DBB0A2" w14:textId="77777777" w:rsidR="00130F4E" w:rsidRPr="002513B4" w:rsidRDefault="00130F4E" w:rsidP="002C2B23">
      <w:pPr>
        <w:pStyle w:val="AppBullt2"/>
        <w:rPr>
          <w:lang w:val="en-US"/>
        </w:rPr>
      </w:pPr>
      <w:r w:rsidRPr="002513B4">
        <w:rPr>
          <w:lang w:val="en-US"/>
        </w:rPr>
        <w:t>Vietnamese</w:t>
      </w:r>
    </w:p>
    <w:p w14:paraId="5C142E5C" w14:textId="77777777" w:rsidR="00130F4E" w:rsidRPr="002513B4" w:rsidRDefault="00130F4E" w:rsidP="002C2B23">
      <w:pPr>
        <w:pStyle w:val="AppBullt2"/>
        <w:rPr>
          <w:lang w:val="en-US"/>
        </w:rPr>
      </w:pPr>
      <w:r w:rsidRPr="002513B4">
        <w:rPr>
          <w:lang w:val="en-US"/>
        </w:rPr>
        <w:t>Armenian</w:t>
      </w:r>
    </w:p>
    <w:p w14:paraId="6FE3218C" w14:textId="77777777" w:rsidR="00130F4E" w:rsidRPr="002513B4" w:rsidRDefault="00130F4E" w:rsidP="00990A21">
      <w:pPr>
        <w:pStyle w:val="AppBullet10"/>
        <w:rPr>
          <w:b/>
          <w:bCs/>
        </w:rPr>
      </w:pPr>
      <w:r w:rsidRPr="002513B4">
        <w:rPr>
          <w:b/>
          <w:bCs/>
        </w:rPr>
        <w:t>Supplemental Questions</w:t>
      </w:r>
    </w:p>
    <w:p w14:paraId="778AE759" w14:textId="77777777" w:rsidR="00130F4E" w:rsidRPr="002513B4" w:rsidRDefault="00130F4E" w:rsidP="002C2B23">
      <w:pPr>
        <w:pStyle w:val="AppBullt2"/>
        <w:rPr>
          <w:lang w:val="en-US"/>
        </w:rPr>
      </w:pPr>
      <w:r w:rsidRPr="002513B4">
        <w:rPr>
          <w:lang w:val="en-US"/>
        </w:rPr>
        <w:t>English</w:t>
      </w:r>
    </w:p>
    <w:p w14:paraId="26DA4C53" w14:textId="77777777" w:rsidR="00130F4E" w:rsidRPr="002513B4" w:rsidRDefault="00130F4E" w:rsidP="002C2B23">
      <w:pPr>
        <w:pStyle w:val="AppBullt2"/>
        <w:rPr>
          <w:lang w:val="en-US"/>
        </w:rPr>
      </w:pPr>
      <w:r w:rsidRPr="002513B4">
        <w:rPr>
          <w:lang w:val="en-US"/>
        </w:rPr>
        <w:t>Spanish</w:t>
      </w:r>
    </w:p>
    <w:p w14:paraId="1FAEE3E5" w14:textId="77777777" w:rsidR="00130F4E" w:rsidRPr="002513B4" w:rsidRDefault="00130F4E" w:rsidP="002C2B23">
      <w:pPr>
        <w:pStyle w:val="AppBullt2"/>
        <w:rPr>
          <w:lang w:val="en-US"/>
        </w:rPr>
      </w:pPr>
      <w:r w:rsidRPr="002513B4">
        <w:rPr>
          <w:lang w:val="en-US"/>
        </w:rPr>
        <w:t>Simplified Chinese</w:t>
      </w:r>
    </w:p>
    <w:p w14:paraId="13699692" w14:textId="77777777" w:rsidR="00130F4E" w:rsidRPr="002513B4" w:rsidRDefault="00130F4E" w:rsidP="002C2B23">
      <w:pPr>
        <w:pStyle w:val="AppBullt2"/>
        <w:rPr>
          <w:lang w:val="en-US"/>
        </w:rPr>
      </w:pPr>
      <w:r w:rsidRPr="002513B4">
        <w:rPr>
          <w:lang w:val="en-US"/>
        </w:rPr>
        <w:t>Traditional Chinese</w:t>
      </w:r>
    </w:p>
    <w:p w14:paraId="54C2125D" w14:textId="77777777" w:rsidR="00130F4E" w:rsidRPr="002513B4" w:rsidRDefault="00130F4E" w:rsidP="002C2B23">
      <w:pPr>
        <w:pStyle w:val="AppBullt2"/>
        <w:rPr>
          <w:lang w:val="en-US"/>
        </w:rPr>
      </w:pPr>
      <w:r w:rsidRPr="002513B4">
        <w:rPr>
          <w:lang w:val="en-US"/>
        </w:rPr>
        <w:t>Russian</w:t>
      </w:r>
    </w:p>
    <w:p w14:paraId="344763E2" w14:textId="77777777" w:rsidR="00130F4E" w:rsidRPr="002513B4" w:rsidRDefault="00130F4E" w:rsidP="002C2B23">
      <w:pPr>
        <w:pStyle w:val="AppBullt2"/>
        <w:rPr>
          <w:lang w:val="en-US"/>
        </w:rPr>
      </w:pPr>
      <w:r w:rsidRPr="002513B4">
        <w:rPr>
          <w:lang w:val="en-US"/>
        </w:rPr>
        <w:t>Vietnamese</w:t>
      </w:r>
    </w:p>
    <w:p w14:paraId="31CFB6BC" w14:textId="77777777" w:rsidR="00130F4E" w:rsidRPr="002513B4" w:rsidRDefault="00130F4E" w:rsidP="002C2B23">
      <w:pPr>
        <w:pStyle w:val="AppBullt2"/>
        <w:rPr>
          <w:lang w:val="en-US"/>
        </w:rPr>
      </w:pPr>
      <w:r w:rsidRPr="002513B4">
        <w:rPr>
          <w:lang w:val="en-US"/>
        </w:rPr>
        <w:t>Armenian</w:t>
      </w:r>
    </w:p>
    <w:p w14:paraId="4D76D9BA" w14:textId="77777777" w:rsidR="00130F4E" w:rsidRPr="002513B4" w:rsidRDefault="00130F4E" w:rsidP="002C2B23">
      <w:pPr>
        <w:pStyle w:val="AppBullet10"/>
        <w:rPr>
          <w:b/>
          <w:bCs/>
        </w:rPr>
      </w:pPr>
      <w:r w:rsidRPr="002513B4">
        <w:rPr>
          <w:b/>
          <w:bCs/>
        </w:rPr>
        <w:t xml:space="preserve">FAQs for Telephone Interview </w:t>
      </w:r>
    </w:p>
    <w:p w14:paraId="638B8365" w14:textId="77777777" w:rsidR="00130F4E" w:rsidRPr="002513B4" w:rsidRDefault="00130F4E" w:rsidP="002C2B23">
      <w:pPr>
        <w:pStyle w:val="AppBullt2"/>
        <w:rPr>
          <w:lang w:val="en-US"/>
        </w:rPr>
      </w:pPr>
      <w:r w:rsidRPr="002513B4">
        <w:rPr>
          <w:lang w:val="en-US"/>
        </w:rPr>
        <w:t>English</w:t>
      </w:r>
    </w:p>
    <w:p w14:paraId="7A3C96D3" w14:textId="77777777" w:rsidR="00130F4E" w:rsidRPr="002513B4" w:rsidRDefault="00130F4E" w:rsidP="002C2B23">
      <w:pPr>
        <w:pStyle w:val="AppBullt2"/>
        <w:rPr>
          <w:lang w:val="en-US"/>
        </w:rPr>
      </w:pPr>
      <w:r w:rsidRPr="002513B4">
        <w:rPr>
          <w:lang w:val="en-US"/>
        </w:rPr>
        <w:t>Spanish</w:t>
      </w:r>
    </w:p>
    <w:p w14:paraId="36E1FDFF" w14:textId="77777777" w:rsidR="00130F4E" w:rsidRPr="002513B4" w:rsidRDefault="00130F4E" w:rsidP="002C2B23">
      <w:pPr>
        <w:pStyle w:val="AppBullet10"/>
        <w:rPr>
          <w:b/>
          <w:bCs/>
        </w:rPr>
      </w:pPr>
      <w:r w:rsidRPr="002513B4">
        <w:rPr>
          <w:b/>
          <w:bCs/>
        </w:rPr>
        <w:t>General Guidelines for Telephone Interviewers</w:t>
      </w:r>
    </w:p>
    <w:p w14:paraId="7AAC5089" w14:textId="46A2512C" w:rsidR="00CC7AB8" w:rsidRPr="002513B4" w:rsidRDefault="00D261B4" w:rsidP="002C2B23">
      <w:pPr>
        <w:pStyle w:val="AppBullet10"/>
        <w:rPr>
          <w:b/>
          <w:bCs/>
        </w:rPr>
      </w:pPr>
      <w:r w:rsidRPr="002513B4">
        <w:rPr>
          <w:b/>
          <w:bCs/>
        </w:rPr>
        <w:t>Interviewer Monitoring Form</w:t>
      </w:r>
    </w:p>
    <w:p w14:paraId="3B803F02" w14:textId="77777777" w:rsidR="00130F4E" w:rsidRPr="002513B4" w:rsidRDefault="00130F4E" w:rsidP="002C2B23">
      <w:pPr>
        <w:pStyle w:val="AppBullet10"/>
        <w:rPr>
          <w:b/>
          <w:bCs/>
        </w:rPr>
      </w:pPr>
      <w:r w:rsidRPr="002513B4">
        <w:rPr>
          <w:b/>
          <w:bCs/>
        </w:rPr>
        <w:t>Exceptions Request Form</w:t>
      </w:r>
    </w:p>
    <w:p w14:paraId="477A4B9A" w14:textId="77777777" w:rsidR="00130F4E" w:rsidRPr="002513B4" w:rsidRDefault="00130F4E" w:rsidP="002C2B23">
      <w:pPr>
        <w:pStyle w:val="AppBullet10"/>
        <w:rPr>
          <w:b/>
          <w:bCs/>
        </w:rPr>
      </w:pPr>
      <w:r w:rsidRPr="002513B4">
        <w:rPr>
          <w:b/>
          <w:bCs/>
        </w:rPr>
        <w:t>Discrepancy Notification Report</w:t>
      </w:r>
    </w:p>
    <w:p w14:paraId="44A8EAD7" w14:textId="6E575F7D" w:rsidR="00CF21B8" w:rsidRPr="002513B4" w:rsidRDefault="00CF21B8" w:rsidP="002C2B23">
      <w:pPr>
        <w:pStyle w:val="AppBullet10"/>
        <w:rPr>
          <w:b/>
          <w:bCs/>
        </w:rPr>
      </w:pPr>
      <w:r w:rsidRPr="002513B4">
        <w:rPr>
          <w:b/>
          <w:bCs/>
        </w:rPr>
        <w:t>Vendor Application Form</w:t>
      </w:r>
    </w:p>
    <w:p w14:paraId="4C55D821" w14:textId="5497F2ED" w:rsidR="00CD3475" w:rsidRPr="002513B4" w:rsidRDefault="00CF21B8" w:rsidP="002C2B23">
      <w:pPr>
        <w:pStyle w:val="AppBullet10"/>
        <w:rPr>
          <w:b/>
          <w:bCs/>
        </w:rPr>
      </w:pPr>
      <w:r w:rsidRPr="002513B4">
        <w:rPr>
          <w:b/>
          <w:bCs/>
        </w:rPr>
        <w:t>Sample File Layout</w:t>
      </w:r>
    </w:p>
    <w:p w14:paraId="6AEE9407" w14:textId="77777777" w:rsidR="00B43062" w:rsidRPr="002513B4" w:rsidRDefault="00B43062" w:rsidP="00B43062">
      <w:pPr>
        <w:pStyle w:val="BodyText"/>
        <w:rPr>
          <w:lang w:val="en-US"/>
        </w:rPr>
      </w:pPr>
    </w:p>
    <w:sectPr w:rsidR="00B43062" w:rsidRPr="002513B4" w:rsidSect="00785F00">
      <w:headerReference w:type="even" r:id="rId163"/>
      <w:headerReference w:type="default" r:id="rId164"/>
      <w:footerReference w:type="even" r:id="rId165"/>
      <w:footerReference w:type="default" r:id="rId166"/>
      <w:headerReference w:type="first" r:id="rId167"/>
      <w:footerReference w:type="first" r:id="rId16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23A3" w14:textId="77777777" w:rsidR="00CB5192" w:rsidRDefault="00CB5192">
      <w:r>
        <w:separator/>
      </w:r>
    </w:p>
    <w:p w14:paraId="2891E075" w14:textId="77777777" w:rsidR="00CB5192" w:rsidRDefault="00CB5192"/>
    <w:p w14:paraId="7F5CC3D7" w14:textId="77777777" w:rsidR="00CB5192" w:rsidRDefault="00CB5192"/>
    <w:p w14:paraId="24D1F90E" w14:textId="77777777" w:rsidR="00CB5192" w:rsidRDefault="00CB5192"/>
  </w:endnote>
  <w:endnote w:type="continuationSeparator" w:id="0">
    <w:p w14:paraId="5B55CB1D" w14:textId="77777777" w:rsidR="00CB5192" w:rsidRDefault="00CB5192">
      <w:r>
        <w:continuationSeparator/>
      </w:r>
    </w:p>
    <w:p w14:paraId="055E07B5" w14:textId="77777777" w:rsidR="00CB5192" w:rsidRDefault="00CB5192"/>
    <w:p w14:paraId="035A5B03" w14:textId="77777777" w:rsidR="00CB5192" w:rsidRDefault="00CB5192"/>
    <w:p w14:paraId="3C6234AB" w14:textId="77777777" w:rsidR="00CB5192" w:rsidRDefault="00CB5192"/>
  </w:endnote>
  <w:endnote w:type="continuationNotice" w:id="1">
    <w:p w14:paraId="615EB208" w14:textId="77777777" w:rsidR="00CB5192" w:rsidRDefault="00CB5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D0C8" w14:textId="77777777" w:rsidR="006E23DC" w:rsidRDefault="006E23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461B" w14:textId="77777777" w:rsidR="00A83F3F" w:rsidRPr="00DC64F2" w:rsidRDefault="00A83F3F" w:rsidP="007D44EA">
    <w:pPr>
      <w:pStyle w:val="Footer"/>
    </w:pPr>
    <w:r w:rsidRPr="007C6B07">
      <w:rPr>
        <w:bCs/>
      </w:rPr>
      <w:fldChar w:fldCharType="begin"/>
    </w:r>
    <w:r w:rsidRPr="007C6B07">
      <w:rPr>
        <w:bCs/>
      </w:rPr>
      <w:instrText xml:space="preserve"> PAGE   \* MERGEFORMAT </w:instrText>
    </w:r>
    <w:r w:rsidRPr="007C6B07">
      <w:rPr>
        <w:bCs/>
      </w:rPr>
      <w:fldChar w:fldCharType="separate"/>
    </w:r>
    <w:r w:rsidRPr="007C6B07">
      <w:rPr>
        <w:bCs/>
        <w:noProof/>
      </w:rPr>
      <w:t>10</w:t>
    </w:r>
    <w:r w:rsidRPr="007C6B07">
      <w:rPr>
        <w:bCs/>
      </w:rPr>
      <w:fldChar w:fldCharType="end"/>
    </w:r>
    <w:r>
      <w:tab/>
    </w:r>
    <w:r w:rsidRPr="00DC64F2">
      <w:t>Centers f</w:t>
    </w:r>
    <w:r>
      <w:t>or Medicare &amp; Medicaid Services</w:t>
    </w:r>
  </w:p>
  <w:p w14:paraId="29813C6C" w14:textId="77777777" w:rsidR="00A83F3F" w:rsidRDefault="00A83F3F"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3609" w14:textId="77777777" w:rsidR="00A83F3F" w:rsidRPr="00DC64F2" w:rsidRDefault="00A83F3F" w:rsidP="007D44EA">
    <w:pPr>
      <w:pStyle w:val="Footer"/>
    </w:pPr>
    <w:r w:rsidRPr="007C6B07">
      <w:rPr>
        <w:bCs/>
      </w:rPr>
      <w:fldChar w:fldCharType="begin"/>
    </w:r>
    <w:r w:rsidRPr="007C6B07">
      <w:rPr>
        <w:bCs/>
      </w:rPr>
      <w:instrText xml:space="preserve"> PAGE   \* MERGEFORMAT </w:instrText>
    </w:r>
    <w:r w:rsidRPr="007C6B07">
      <w:rPr>
        <w:bCs/>
      </w:rPr>
      <w:fldChar w:fldCharType="separate"/>
    </w:r>
    <w:r w:rsidRPr="007C6B07">
      <w:rPr>
        <w:bCs/>
        <w:noProof/>
      </w:rPr>
      <w:t>24</w:t>
    </w:r>
    <w:r w:rsidRPr="007C6B07">
      <w:rPr>
        <w:bCs/>
      </w:rPr>
      <w:fldChar w:fldCharType="end"/>
    </w:r>
    <w:r>
      <w:tab/>
    </w:r>
    <w:r w:rsidRPr="00DC64F2">
      <w:t>Centers f</w:t>
    </w:r>
    <w:r>
      <w:t>or Medicare &amp; Medicaid Services</w:t>
    </w:r>
  </w:p>
  <w:p w14:paraId="384BC01A" w14:textId="77777777" w:rsidR="00A83F3F" w:rsidRDefault="00A83F3F"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D343" w14:textId="77777777" w:rsidR="00A83F3F" w:rsidRPr="00DC64F2" w:rsidRDefault="00A83F3F" w:rsidP="007D44EA">
    <w:pPr>
      <w:pStyle w:val="Footer"/>
    </w:pPr>
    <w:r w:rsidRPr="007C6B07">
      <w:rPr>
        <w:bCs/>
      </w:rPr>
      <w:fldChar w:fldCharType="begin"/>
    </w:r>
    <w:r w:rsidRPr="007C6B07">
      <w:rPr>
        <w:bCs/>
      </w:rPr>
      <w:instrText xml:space="preserve"> PAGE   \* MERGEFORMAT </w:instrText>
    </w:r>
    <w:r w:rsidRPr="007C6B07">
      <w:rPr>
        <w:bCs/>
      </w:rPr>
      <w:fldChar w:fldCharType="separate"/>
    </w:r>
    <w:r w:rsidRPr="007C6B07">
      <w:rPr>
        <w:bCs/>
        <w:noProof/>
      </w:rPr>
      <w:t>66</w:t>
    </w:r>
    <w:r w:rsidRPr="007C6B07">
      <w:rPr>
        <w:bCs/>
      </w:rPr>
      <w:fldChar w:fldCharType="end"/>
    </w:r>
    <w:r>
      <w:tab/>
    </w:r>
    <w:r w:rsidRPr="00DC64F2">
      <w:t>Centers f</w:t>
    </w:r>
    <w:r>
      <w:t>or Medicare &amp; Medicaid Services</w:t>
    </w:r>
  </w:p>
  <w:p w14:paraId="505D7F7D" w14:textId="77777777" w:rsidR="00A83F3F" w:rsidRDefault="00A83F3F"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430D" w14:textId="77777777" w:rsidR="00A83F3F" w:rsidRPr="00017DC0" w:rsidRDefault="00A83F3F" w:rsidP="00F66A1E">
    <w:pPr>
      <w:pStyle w:val="Footer"/>
      <w:spacing w:after="0"/>
      <w:rPr>
        <w:rFonts w:ascii="Verdana" w:hAnsi="Verdana"/>
        <w:sz w:val="18"/>
        <w:szCs w:val="18"/>
      </w:rPr>
    </w:pPr>
    <w:r w:rsidRPr="00017DC0">
      <w:rPr>
        <w:rFonts w:ascii="Verdana" w:hAnsi="Verdana"/>
        <w:sz w:val="18"/>
        <w:szCs w:val="18"/>
      </w:rPr>
      <w:t>Centers for Medicare &amp; Medicaid Services</w:t>
    </w:r>
    <w:r w:rsidRPr="00017DC0">
      <w:rPr>
        <w:rFonts w:ascii="Verdana" w:hAnsi="Verdana"/>
        <w:sz w:val="18"/>
        <w:szCs w:val="18"/>
      </w:rPr>
      <w:tab/>
    </w:r>
    <w:r w:rsidRPr="00017DC0">
      <w:rPr>
        <w:rFonts w:ascii="Verdana" w:hAnsi="Verdana"/>
        <w:sz w:val="18"/>
        <w:szCs w:val="18"/>
      </w:rPr>
      <w:fldChar w:fldCharType="begin"/>
    </w:r>
    <w:r w:rsidRPr="00017DC0">
      <w:rPr>
        <w:rFonts w:ascii="Verdana" w:hAnsi="Verdana"/>
        <w:sz w:val="18"/>
        <w:szCs w:val="18"/>
      </w:rPr>
      <w:instrText xml:space="preserve"> PAGE   \* MERGEFORMAT </w:instrText>
    </w:r>
    <w:r w:rsidRPr="00017DC0">
      <w:rPr>
        <w:rFonts w:ascii="Verdana" w:hAnsi="Verdana"/>
        <w:sz w:val="18"/>
        <w:szCs w:val="18"/>
      </w:rPr>
      <w:fldChar w:fldCharType="separate"/>
    </w:r>
    <w:r w:rsidRPr="00017DC0">
      <w:rPr>
        <w:rFonts w:ascii="Verdana" w:hAnsi="Verdana"/>
        <w:noProof/>
        <w:sz w:val="18"/>
        <w:szCs w:val="18"/>
      </w:rPr>
      <w:t>65</w:t>
    </w:r>
    <w:r w:rsidRPr="00017DC0">
      <w:rPr>
        <w:rFonts w:ascii="Verdana" w:hAnsi="Verdana"/>
        <w:sz w:val="18"/>
        <w:szCs w:val="18"/>
      </w:rPr>
      <w:fldChar w:fldCharType="end"/>
    </w:r>
  </w:p>
  <w:p w14:paraId="592603DE" w14:textId="77777777" w:rsidR="00A83F3F" w:rsidRPr="00017DC0" w:rsidRDefault="00A83F3F" w:rsidP="00F66A1E">
    <w:pPr>
      <w:pStyle w:val="Footer"/>
      <w:spacing w:after="0"/>
      <w:rPr>
        <w:rFonts w:ascii="Verdana" w:hAnsi="Verdana"/>
        <w:sz w:val="18"/>
        <w:szCs w:val="18"/>
      </w:rPr>
    </w:pPr>
    <w:r w:rsidRPr="00017DC0">
      <w:rPr>
        <w:rFonts w:ascii="Verdana" w:hAnsi="Verdana"/>
        <w:sz w:val="18"/>
        <w:szCs w:val="18"/>
      </w:rPr>
      <w:t>Home Health Care CAHPS Survey Protocols and Guidelines Manual</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6A2E" w14:textId="77777777" w:rsidR="00A83F3F" w:rsidRPr="009316AB" w:rsidRDefault="00A83F3F" w:rsidP="00F66A1E">
    <w:pPr>
      <w:pStyle w:val="Footer"/>
      <w:spacing w:after="0"/>
      <w:rPr>
        <w:rFonts w:ascii="Verdana" w:hAnsi="Verdana"/>
        <w:bCs/>
        <w:sz w:val="18"/>
        <w:szCs w:val="18"/>
      </w:rPr>
    </w:pPr>
    <w:r w:rsidRPr="009316AB">
      <w:rPr>
        <w:rFonts w:ascii="Verdana" w:hAnsi="Verdana"/>
        <w:sz w:val="18"/>
        <w:szCs w:val="18"/>
      </w:rPr>
      <w:t>Centers for Medicare &amp; Medicaid Services</w:t>
    </w:r>
    <w:r w:rsidRPr="009316AB">
      <w:rPr>
        <w:rFonts w:ascii="Verdana" w:hAnsi="Verdana"/>
        <w:sz w:val="18"/>
        <w:szCs w:val="18"/>
      </w:rPr>
      <w:tab/>
    </w:r>
    <w:r w:rsidRPr="009316AB">
      <w:rPr>
        <w:rFonts w:ascii="Verdana" w:hAnsi="Verdana"/>
        <w:bCs/>
        <w:sz w:val="18"/>
        <w:szCs w:val="18"/>
      </w:rPr>
      <w:fldChar w:fldCharType="begin"/>
    </w:r>
    <w:r w:rsidRPr="009316AB">
      <w:rPr>
        <w:rFonts w:ascii="Verdana" w:hAnsi="Verdana"/>
        <w:bCs/>
        <w:sz w:val="18"/>
        <w:szCs w:val="18"/>
      </w:rPr>
      <w:instrText xml:space="preserve"> PAGE   \* MERGEFORMAT </w:instrText>
    </w:r>
    <w:r w:rsidRPr="009316AB">
      <w:rPr>
        <w:rFonts w:ascii="Verdana" w:hAnsi="Verdana"/>
        <w:bCs/>
        <w:sz w:val="18"/>
        <w:szCs w:val="18"/>
      </w:rPr>
      <w:fldChar w:fldCharType="separate"/>
    </w:r>
    <w:r w:rsidRPr="009316AB">
      <w:rPr>
        <w:rFonts w:ascii="Verdana" w:hAnsi="Verdana"/>
        <w:bCs/>
        <w:noProof/>
        <w:sz w:val="18"/>
        <w:szCs w:val="18"/>
      </w:rPr>
      <w:t>53</w:t>
    </w:r>
    <w:r w:rsidRPr="009316AB">
      <w:rPr>
        <w:rFonts w:ascii="Verdana" w:hAnsi="Verdana"/>
        <w:bCs/>
        <w:sz w:val="18"/>
        <w:szCs w:val="18"/>
      </w:rPr>
      <w:fldChar w:fldCharType="end"/>
    </w:r>
  </w:p>
  <w:p w14:paraId="02B013E6" w14:textId="77777777" w:rsidR="00A83F3F" w:rsidRPr="009316AB" w:rsidRDefault="00A83F3F" w:rsidP="00F66A1E">
    <w:pPr>
      <w:pStyle w:val="Footer"/>
      <w:spacing w:after="0"/>
      <w:rPr>
        <w:rFonts w:ascii="Verdana" w:hAnsi="Verdana"/>
        <w:sz w:val="18"/>
        <w:szCs w:val="18"/>
      </w:rPr>
    </w:pPr>
    <w:r w:rsidRPr="009316AB">
      <w:rPr>
        <w:rFonts w:ascii="Verdana" w:hAnsi="Verdana"/>
        <w:sz w:val="18"/>
        <w:szCs w:val="18"/>
      </w:rPr>
      <w:t>Home Health Care CAHPS Survey Protocols and Guidelines Manual</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B835" w14:textId="77777777" w:rsidR="00A83F3F" w:rsidRPr="00DC64F2" w:rsidRDefault="00A83F3F" w:rsidP="007D44EA">
    <w:pPr>
      <w:pStyle w:val="Footer"/>
    </w:pPr>
    <w:r w:rsidRPr="007C6B07">
      <w:rPr>
        <w:bCs/>
      </w:rPr>
      <w:fldChar w:fldCharType="begin"/>
    </w:r>
    <w:r w:rsidRPr="007C6B07">
      <w:rPr>
        <w:bCs/>
      </w:rPr>
      <w:instrText xml:space="preserve"> PAGE   \* MERGEFORMAT </w:instrText>
    </w:r>
    <w:r w:rsidRPr="007C6B07">
      <w:rPr>
        <w:bCs/>
      </w:rPr>
      <w:fldChar w:fldCharType="separate"/>
    </w:r>
    <w:r w:rsidRPr="007C6B07">
      <w:rPr>
        <w:bCs/>
        <w:noProof/>
      </w:rPr>
      <w:t>78</w:t>
    </w:r>
    <w:r w:rsidRPr="007C6B07">
      <w:rPr>
        <w:bCs/>
      </w:rPr>
      <w:fldChar w:fldCharType="end"/>
    </w:r>
    <w:r>
      <w:tab/>
    </w:r>
    <w:r w:rsidRPr="00DC64F2">
      <w:t>Centers f</w:t>
    </w:r>
    <w:r>
      <w:t>or Medicare &amp; Medicaid Services</w:t>
    </w:r>
  </w:p>
  <w:p w14:paraId="0434AC17" w14:textId="77777777" w:rsidR="00A83F3F" w:rsidRDefault="00A83F3F"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D577" w14:textId="77777777" w:rsidR="00A83F3F" w:rsidRPr="00017DC0" w:rsidRDefault="00A83F3F" w:rsidP="003264F7">
    <w:pPr>
      <w:pStyle w:val="Footer"/>
      <w:spacing w:after="0"/>
      <w:rPr>
        <w:rFonts w:ascii="Verdana" w:hAnsi="Verdana"/>
        <w:sz w:val="18"/>
        <w:szCs w:val="18"/>
      </w:rPr>
    </w:pPr>
    <w:r w:rsidRPr="00017DC0">
      <w:rPr>
        <w:rFonts w:ascii="Verdana" w:hAnsi="Verdana"/>
        <w:sz w:val="18"/>
        <w:szCs w:val="18"/>
      </w:rPr>
      <w:t>Centers for Medicare &amp; Medicaid Services</w:t>
    </w:r>
    <w:r w:rsidRPr="00017DC0">
      <w:rPr>
        <w:rFonts w:ascii="Verdana" w:hAnsi="Verdana"/>
        <w:sz w:val="18"/>
        <w:szCs w:val="18"/>
      </w:rPr>
      <w:tab/>
    </w:r>
    <w:r w:rsidRPr="00017DC0">
      <w:rPr>
        <w:rFonts w:ascii="Verdana" w:hAnsi="Verdana"/>
        <w:sz w:val="18"/>
        <w:szCs w:val="18"/>
      </w:rPr>
      <w:fldChar w:fldCharType="begin"/>
    </w:r>
    <w:r w:rsidRPr="00017DC0">
      <w:rPr>
        <w:rFonts w:ascii="Verdana" w:hAnsi="Verdana"/>
        <w:sz w:val="18"/>
        <w:szCs w:val="18"/>
      </w:rPr>
      <w:instrText xml:space="preserve"> PAGE   \* MERGEFORMAT </w:instrText>
    </w:r>
    <w:r w:rsidRPr="00017DC0">
      <w:rPr>
        <w:rFonts w:ascii="Verdana" w:hAnsi="Verdana"/>
        <w:sz w:val="18"/>
        <w:szCs w:val="18"/>
      </w:rPr>
      <w:fldChar w:fldCharType="separate"/>
    </w:r>
    <w:r w:rsidRPr="00017DC0">
      <w:rPr>
        <w:rFonts w:ascii="Verdana" w:hAnsi="Verdana"/>
        <w:noProof/>
        <w:sz w:val="18"/>
        <w:szCs w:val="18"/>
      </w:rPr>
      <w:t>77</w:t>
    </w:r>
    <w:r w:rsidRPr="00017DC0">
      <w:rPr>
        <w:rFonts w:ascii="Verdana" w:hAnsi="Verdana"/>
        <w:sz w:val="18"/>
        <w:szCs w:val="18"/>
      </w:rPr>
      <w:fldChar w:fldCharType="end"/>
    </w:r>
  </w:p>
  <w:p w14:paraId="11732D72" w14:textId="77777777" w:rsidR="00A83F3F" w:rsidRPr="00017DC0" w:rsidRDefault="00A83F3F" w:rsidP="003264F7">
    <w:pPr>
      <w:pStyle w:val="Footer"/>
      <w:spacing w:after="0"/>
      <w:rPr>
        <w:rFonts w:ascii="Verdana" w:hAnsi="Verdana"/>
        <w:sz w:val="18"/>
        <w:szCs w:val="18"/>
      </w:rPr>
    </w:pPr>
    <w:r w:rsidRPr="00017DC0">
      <w:rPr>
        <w:rFonts w:ascii="Verdana" w:hAnsi="Verdana"/>
        <w:sz w:val="18"/>
        <w:szCs w:val="18"/>
      </w:rPr>
      <w:t>Home Health Care CAHPS Survey Protocols and Guidelines Manual</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740B" w14:textId="77777777" w:rsidR="00A83F3F" w:rsidRPr="00017DC0" w:rsidRDefault="00A83F3F" w:rsidP="003264F7">
    <w:pPr>
      <w:pStyle w:val="Footer"/>
      <w:spacing w:after="0"/>
      <w:rPr>
        <w:rFonts w:ascii="Verdana" w:hAnsi="Verdana"/>
        <w:sz w:val="18"/>
        <w:szCs w:val="18"/>
      </w:rPr>
    </w:pPr>
    <w:r w:rsidRPr="00017DC0">
      <w:rPr>
        <w:rFonts w:ascii="Verdana" w:hAnsi="Verdana"/>
        <w:sz w:val="18"/>
        <w:szCs w:val="18"/>
      </w:rPr>
      <w:t>Centers for Medicare &amp; Medicaid Services</w:t>
    </w:r>
    <w:r w:rsidRPr="00017DC0">
      <w:rPr>
        <w:rFonts w:ascii="Verdana" w:hAnsi="Verdana"/>
        <w:sz w:val="18"/>
        <w:szCs w:val="18"/>
      </w:rPr>
      <w:tab/>
    </w:r>
    <w:r w:rsidRPr="00017DC0">
      <w:rPr>
        <w:rFonts w:ascii="Verdana" w:hAnsi="Verdana"/>
        <w:bCs/>
        <w:sz w:val="18"/>
        <w:szCs w:val="18"/>
      </w:rPr>
      <w:fldChar w:fldCharType="begin"/>
    </w:r>
    <w:r w:rsidRPr="00017DC0">
      <w:rPr>
        <w:rFonts w:ascii="Verdana" w:hAnsi="Verdana"/>
        <w:bCs/>
        <w:sz w:val="18"/>
        <w:szCs w:val="18"/>
      </w:rPr>
      <w:instrText xml:space="preserve"> PAGE   \* MERGEFORMAT </w:instrText>
    </w:r>
    <w:r w:rsidRPr="00017DC0">
      <w:rPr>
        <w:rFonts w:ascii="Verdana" w:hAnsi="Verdana"/>
        <w:bCs/>
        <w:sz w:val="18"/>
        <w:szCs w:val="18"/>
      </w:rPr>
      <w:fldChar w:fldCharType="separate"/>
    </w:r>
    <w:r w:rsidRPr="00017DC0">
      <w:rPr>
        <w:rFonts w:ascii="Verdana" w:hAnsi="Verdana"/>
        <w:bCs/>
        <w:noProof/>
        <w:sz w:val="18"/>
        <w:szCs w:val="18"/>
      </w:rPr>
      <w:t>67</w:t>
    </w:r>
    <w:r w:rsidRPr="00017DC0">
      <w:rPr>
        <w:rFonts w:ascii="Verdana" w:hAnsi="Verdana"/>
        <w:bCs/>
        <w:sz w:val="18"/>
        <w:szCs w:val="18"/>
      </w:rPr>
      <w:fldChar w:fldCharType="end"/>
    </w:r>
  </w:p>
  <w:p w14:paraId="5F8180FE" w14:textId="77777777" w:rsidR="00A83F3F" w:rsidRPr="00017DC0" w:rsidRDefault="00A83F3F" w:rsidP="003264F7">
    <w:pPr>
      <w:pStyle w:val="Footer"/>
      <w:spacing w:after="0"/>
      <w:rPr>
        <w:rFonts w:ascii="Verdana" w:hAnsi="Verdana"/>
        <w:sz w:val="18"/>
        <w:szCs w:val="18"/>
      </w:rPr>
    </w:pPr>
    <w:r w:rsidRPr="00017DC0">
      <w:rPr>
        <w:rFonts w:ascii="Verdana" w:hAnsi="Verdana"/>
        <w:sz w:val="18"/>
        <w:szCs w:val="18"/>
      </w:rPr>
      <w:t>Home Health Care CAHPS Survey Protocols and Guidelines Manual</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61DA" w14:textId="77777777" w:rsidR="00A83F3F" w:rsidRPr="00DC64F2" w:rsidRDefault="00A83F3F" w:rsidP="007D44EA">
    <w:pPr>
      <w:pStyle w:val="Footer"/>
    </w:pPr>
    <w:r w:rsidRPr="00966D48">
      <w:rPr>
        <w:bCs/>
      </w:rPr>
      <w:fldChar w:fldCharType="begin"/>
    </w:r>
    <w:r w:rsidRPr="00966D48">
      <w:rPr>
        <w:bCs/>
      </w:rPr>
      <w:instrText xml:space="preserve"> PAGE   \* MERGEFORMAT </w:instrText>
    </w:r>
    <w:r w:rsidRPr="00966D48">
      <w:rPr>
        <w:bCs/>
      </w:rPr>
      <w:fldChar w:fldCharType="separate"/>
    </w:r>
    <w:r w:rsidRPr="00966D48">
      <w:rPr>
        <w:bCs/>
        <w:noProof/>
      </w:rPr>
      <w:t>120</w:t>
    </w:r>
    <w:r w:rsidRPr="00966D48">
      <w:rPr>
        <w:bCs/>
      </w:rPr>
      <w:fldChar w:fldCharType="end"/>
    </w:r>
    <w:r>
      <w:tab/>
    </w:r>
    <w:r w:rsidRPr="00DC64F2">
      <w:t>Centers f</w:t>
    </w:r>
    <w:r>
      <w:t>or Medicare &amp; Medicaid Services</w:t>
    </w:r>
  </w:p>
  <w:p w14:paraId="7B819021" w14:textId="77777777" w:rsidR="00A83F3F" w:rsidRPr="00355892" w:rsidRDefault="00A83F3F" w:rsidP="00355892">
    <w:pPr>
      <w:pStyle w:val="Footer"/>
      <w:rPr>
        <w:lang w:val="en-US"/>
      </w:rP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0FC3" w14:textId="77777777" w:rsidR="00A83F3F" w:rsidRPr="009316AB" w:rsidRDefault="00A83F3F" w:rsidP="007A68CD">
    <w:pPr>
      <w:pStyle w:val="Footer"/>
      <w:spacing w:after="0"/>
      <w:rPr>
        <w:rFonts w:ascii="Verdana" w:hAnsi="Verdana"/>
        <w:sz w:val="18"/>
        <w:szCs w:val="18"/>
      </w:rPr>
    </w:pPr>
    <w:r w:rsidRPr="009316AB">
      <w:rPr>
        <w:rFonts w:ascii="Verdana" w:hAnsi="Verdana"/>
        <w:sz w:val="18"/>
        <w:szCs w:val="18"/>
      </w:rPr>
      <w:t>Centers for Medicare &amp; Medicaid Services</w:t>
    </w:r>
    <w:r w:rsidRPr="009316AB">
      <w:rPr>
        <w:rFonts w:ascii="Verdana" w:hAnsi="Verdana"/>
        <w:sz w:val="18"/>
        <w:szCs w:val="18"/>
      </w:rPr>
      <w:tab/>
    </w:r>
    <w:r w:rsidRPr="009316AB">
      <w:rPr>
        <w:rFonts w:ascii="Verdana" w:hAnsi="Verdana"/>
        <w:b w:val="0"/>
        <w:sz w:val="18"/>
        <w:szCs w:val="18"/>
      </w:rPr>
      <w:fldChar w:fldCharType="begin"/>
    </w:r>
    <w:r w:rsidRPr="009316AB">
      <w:rPr>
        <w:rFonts w:ascii="Verdana" w:hAnsi="Verdana"/>
        <w:b w:val="0"/>
        <w:sz w:val="18"/>
        <w:szCs w:val="18"/>
      </w:rPr>
      <w:instrText xml:space="preserve"> PAGE   \* MERGEFORMAT </w:instrText>
    </w:r>
    <w:r w:rsidRPr="009316AB">
      <w:rPr>
        <w:rFonts w:ascii="Verdana" w:hAnsi="Verdana"/>
        <w:b w:val="0"/>
        <w:sz w:val="18"/>
        <w:szCs w:val="18"/>
      </w:rPr>
      <w:fldChar w:fldCharType="separate"/>
    </w:r>
    <w:r w:rsidRPr="009316AB">
      <w:rPr>
        <w:rFonts w:ascii="Verdana" w:hAnsi="Verdana"/>
        <w:b w:val="0"/>
        <w:noProof/>
        <w:sz w:val="18"/>
        <w:szCs w:val="18"/>
      </w:rPr>
      <w:t>119</w:t>
    </w:r>
    <w:r w:rsidRPr="009316AB">
      <w:rPr>
        <w:rFonts w:ascii="Verdana" w:hAnsi="Verdana"/>
        <w:b w:val="0"/>
        <w:sz w:val="18"/>
        <w:szCs w:val="18"/>
      </w:rPr>
      <w:fldChar w:fldCharType="end"/>
    </w:r>
  </w:p>
  <w:p w14:paraId="642F66BB" w14:textId="77777777" w:rsidR="00A83F3F" w:rsidRPr="009316AB" w:rsidRDefault="00A83F3F" w:rsidP="007A68CD">
    <w:pPr>
      <w:pStyle w:val="Footer"/>
      <w:spacing w:after="0"/>
      <w:rPr>
        <w:rFonts w:ascii="Verdana" w:hAnsi="Verdana"/>
        <w:sz w:val="18"/>
        <w:szCs w:val="18"/>
        <w:lang w:val="en-US"/>
      </w:rPr>
    </w:pPr>
    <w:r w:rsidRPr="009316AB">
      <w:rPr>
        <w:rFonts w:ascii="Verdana" w:hAnsi="Verdana"/>
        <w:sz w:val="18"/>
        <w:szCs w:val="18"/>
      </w:rPr>
      <w:t>Home Health Care CAHPS Survey Protocols and Guidelines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77" w14:textId="77777777" w:rsidR="00662B4E" w:rsidRPr="009316AB" w:rsidRDefault="00662B4E" w:rsidP="00662B4E">
    <w:pPr>
      <w:pStyle w:val="Footer"/>
      <w:spacing w:after="0"/>
      <w:rPr>
        <w:rFonts w:ascii="Verdana" w:hAnsi="Verdana"/>
        <w:sz w:val="18"/>
        <w:szCs w:val="18"/>
      </w:rPr>
    </w:pPr>
    <w:r w:rsidRPr="009316AB">
      <w:rPr>
        <w:rFonts w:ascii="Verdana" w:hAnsi="Verdana"/>
        <w:sz w:val="18"/>
        <w:szCs w:val="18"/>
      </w:rPr>
      <w:t>Centers for Medicare &amp; Medicaid Services</w:t>
    </w:r>
    <w:r w:rsidRPr="009316AB">
      <w:rPr>
        <w:rFonts w:ascii="Verdana" w:hAnsi="Verdana"/>
        <w:sz w:val="18"/>
        <w:szCs w:val="18"/>
      </w:rPr>
      <w:tab/>
    </w:r>
    <w:r w:rsidRPr="009316AB">
      <w:rPr>
        <w:rFonts w:ascii="Verdana" w:hAnsi="Verdana"/>
        <w:bCs/>
        <w:sz w:val="18"/>
        <w:szCs w:val="18"/>
      </w:rPr>
      <w:fldChar w:fldCharType="begin"/>
    </w:r>
    <w:r w:rsidRPr="009316AB">
      <w:rPr>
        <w:rFonts w:ascii="Verdana" w:hAnsi="Verdana"/>
        <w:bCs/>
        <w:sz w:val="18"/>
        <w:szCs w:val="18"/>
      </w:rPr>
      <w:instrText xml:space="preserve"> PAGE   \* MERGEFORMAT </w:instrText>
    </w:r>
    <w:r w:rsidRPr="009316AB">
      <w:rPr>
        <w:rFonts w:ascii="Verdana" w:hAnsi="Verdana"/>
        <w:bCs/>
        <w:sz w:val="18"/>
        <w:szCs w:val="18"/>
      </w:rPr>
      <w:fldChar w:fldCharType="separate"/>
    </w:r>
    <w:r w:rsidRPr="009316AB">
      <w:rPr>
        <w:rFonts w:ascii="Verdana" w:hAnsi="Verdana"/>
        <w:bCs/>
        <w:sz w:val="18"/>
        <w:szCs w:val="18"/>
      </w:rPr>
      <w:t>iii</w:t>
    </w:r>
    <w:r w:rsidRPr="009316AB">
      <w:rPr>
        <w:rFonts w:ascii="Verdana" w:hAnsi="Verdana"/>
        <w:bCs/>
        <w:sz w:val="18"/>
        <w:szCs w:val="18"/>
      </w:rPr>
      <w:fldChar w:fldCharType="end"/>
    </w:r>
  </w:p>
  <w:p w14:paraId="07A45A20" w14:textId="40DAC25B" w:rsidR="00662B4E" w:rsidRPr="009316AB" w:rsidRDefault="00662B4E" w:rsidP="00662B4E">
    <w:pPr>
      <w:pStyle w:val="Footer"/>
      <w:spacing w:after="0"/>
      <w:rPr>
        <w:rFonts w:ascii="Verdana" w:hAnsi="Verdana"/>
      </w:rPr>
    </w:pPr>
    <w:r w:rsidRPr="009316AB">
      <w:rPr>
        <w:rFonts w:ascii="Verdana" w:hAnsi="Verdana"/>
        <w:sz w:val="18"/>
        <w:szCs w:val="18"/>
      </w:rPr>
      <w:t>Home Health Care CAHPS Survey Protocols and Guidelines Manual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8EE1" w14:textId="77777777" w:rsidR="00A83F3F" w:rsidRPr="00017DC0" w:rsidRDefault="00A83F3F" w:rsidP="00017DC0">
    <w:pPr>
      <w:pStyle w:val="Footer"/>
      <w:spacing w:after="0"/>
      <w:rPr>
        <w:rFonts w:ascii="Verdana" w:hAnsi="Verdana"/>
        <w:sz w:val="18"/>
        <w:szCs w:val="18"/>
      </w:rPr>
    </w:pPr>
    <w:r w:rsidRPr="00017DC0">
      <w:rPr>
        <w:rFonts w:ascii="Verdana" w:hAnsi="Verdana"/>
        <w:sz w:val="18"/>
        <w:szCs w:val="18"/>
      </w:rPr>
      <w:t>Centers for Medicare &amp; Medicaid Services</w:t>
    </w:r>
    <w:r w:rsidRPr="00017DC0">
      <w:rPr>
        <w:rFonts w:ascii="Verdana" w:hAnsi="Verdana"/>
        <w:sz w:val="18"/>
        <w:szCs w:val="18"/>
      </w:rPr>
      <w:tab/>
    </w:r>
    <w:r w:rsidRPr="00017DC0">
      <w:rPr>
        <w:rFonts w:ascii="Verdana" w:hAnsi="Verdana"/>
        <w:sz w:val="18"/>
        <w:szCs w:val="18"/>
      </w:rPr>
      <w:fldChar w:fldCharType="begin"/>
    </w:r>
    <w:r w:rsidRPr="00017DC0">
      <w:rPr>
        <w:rFonts w:ascii="Verdana" w:hAnsi="Verdana"/>
        <w:sz w:val="18"/>
        <w:szCs w:val="18"/>
      </w:rPr>
      <w:instrText xml:space="preserve"> PAGE   \* MERGEFORMAT </w:instrText>
    </w:r>
    <w:r w:rsidRPr="00017DC0">
      <w:rPr>
        <w:rFonts w:ascii="Verdana" w:hAnsi="Verdana"/>
        <w:sz w:val="18"/>
        <w:szCs w:val="18"/>
      </w:rPr>
      <w:fldChar w:fldCharType="separate"/>
    </w:r>
    <w:r w:rsidRPr="00017DC0">
      <w:rPr>
        <w:rFonts w:ascii="Verdana" w:hAnsi="Verdana"/>
        <w:noProof/>
        <w:sz w:val="18"/>
        <w:szCs w:val="18"/>
      </w:rPr>
      <w:t>116</w:t>
    </w:r>
    <w:r w:rsidRPr="00017DC0">
      <w:rPr>
        <w:rFonts w:ascii="Verdana" w:hAnsi="Verdana"/>
        <w:sz w:val="18"/>
        <w:szCs w:val="18"/>
      </w:rPr>
      <w:fldChar w:fldCharType="end"/>
    </w:r>
  </w:p>
  <w:p w14:paraId="3559B138" w14:textId="77857277" w:rsidR="00A83F3F" w:rsidRPr="00017DC0" w:rsidRDefault="00A83F3F" w:rsidP="00017DC0">
    <w:pPr>
      <w:pStyle w:val="Footer"/>
      <w:spacing w:after="0"/>
      <w:rPr>
        <w:rFonts w:ascii="Verdana" w:hAnsi="Verdana"/>
        <w:sz w:val="18"/>
        <w:szCs w:val="18"/>
      </w:rPr>
    </w:pPr>
    <w:r w:rsidRPr="00017DC0">
      <w:rPr>
        <w:rFonts w:ascii="Verdana" w:hAnsi="Verdana"/>
        <w:sz w:val="18"/>
        <w:szCs w:val="18"/>
      </w:rPr>
      <w:t>Home Health Care CAHPS Survey Protocols and Guidelines Manual</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D08D" w14:textId="77777777" w:rsidR="00A83F3F" w:rsidRPr="00DC64F2" w:rsidRDefault="00A83F3F" w:rsidP="007D44EA">
    <w:pPr>
      <w:pStyle w:val="Footer"/>
    </w:pPr>
    <w:r w:rsidRPr="00966D48">
      <w:rPr>
        <w:bCs/>
      </w:rPr>
      <w:fldChar w:fldCharType="begin"/>
    </w:r>
    <w:r w:rsidRPr="00966D48">
      <w:rPr>
        <w:bCs/>
      </w:rPr>
      <w:instrText xml:space="preserve"> PAGE   \* MERGEFORMAT </w:instrText>
    </w:r>
    <w:r w:rsidRPr="00966D48">
      <w:rPr>
        <w:bCs/>
      </w:rPr>
      <w:fldChar w:fldCharType="separate"/>
    </w:r>
    <w:r w:rsidRPr="00966D48">
      <w:rPr>
        <w:bCs/>
        <w:noProof/>
      </w:rPr>
      <w:t>138</w:t>
    </w:r>
    <w:r w:rsidRPr="00966D48">
      <w:rPr>
        <w:bCs/>
      </w:rPr>
      <w:fldChar w:fldCharType="end"/>
    </w:r>
    <w:r>
      <w:tab/>
    </w:r>
    <w:r w:rsidRPr="00DC64F2">
      <w:t>Centers f</w:t>
    </w:r>
    <w:r>
      <w:t>or Medicare &amp; Medicaid Services</w:t>
    </w:r>
  </w:p>
  <w:p w14:paraId="7C859313" w14:textId="77777777" w:rsidR="00A83F3F" w:rsidRDefault="00A83F3F"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CED0" w14:textId="77777777" w:rsidR="00A83F3F" w:rsidRPr="00017DC0" w:rsidRDefault="00A83F3F" w:rsidP="0084282E">
    <w:pPr>
      <w:pStyle w:val="Footer"/>
      <w:spacing w:after="0"/>
      <w:rPr>
        <w:rFonts w:ascii="Verdana" w:hAnsi="Verdana"/>
        <w:sz w:val="18"/>
        <w:szCs w:val="18"/>
      </w:rPr>
    </w:pPr>
    <w:r w:rsidRPr="00017DC0">
      <w:rPr>
        <w:rFonts w:ascii="Verdana" w:hAnsi="Verdana"/>
        <w:sz w:val="18"/>
        <w:szCs w:val="18"/>
      </w:rPr>
      <w:t>Centers for Medicare &amp; Medicaid Services</w:t>
    </w:r>
    <w:r w:rsidRPr="00017DC0">
      <w:rPr>
        <w:rFonts w:ascii="Verdana" w:hAnsi="Verdana"/>
        <w:sz w:val="18"/>
        <w:szCs w:val="18"/>
      </w:rPr>
      <w:tab/>
    </w:r>
    <w:r w:rsidRPr="00017DC0">
      <w:rPr>
        <w:rFonts w:ascii="Verdana" w:hAnsi="Verdana"/>
        <w:bCs/>
        <w:sz w:val="18"/>
        <w:szCs w:val="18"/>
      </w:rPr>
      <w:fldChar w:fldCharType="begin"/>
    </w:r>
    <w:r w:rsidRPr="00017DC0">
      <w:rPr>
        <w:rFonts w:ascii="Verdana" w:hAnsi="Verdana"/>
        <w:bCs/>
        <w:sz w:val="18"/>
        <w:szCs w:val="18"/>
      </w:rPr>
      <w:instrText xml:space="preserve"> PAGE   \* MERGEFORMAT </w:instrText>
    </w:r>
    <w:r w:rsidRPr="00017DC0">
      <w:rPr>
        <w:rFonts w:ascii="Verdana" w:hAnsi="Verdana"/>
        <w:bCs/>
        <w:sz w:val="18"/>
        <w:szCs w:val="18"/>
      </w:rPr>
      <w:fldChar w:fldCharType="separate"/>
    </w:r>
    <w:r w:rsidRPr="00017DC0">
      <w:rPr>
        <w:rFonts w:ascii="Verdana" w:hAnsi="Verdana"/>
        <w:bCs/>
        <w:noProof/>
        <w:sz w:val="18"/>
        <w:szCs w:val="18"/>
      </w:rPr>
      <w:t>137</w:t>
    </w:r>
    <w:r w:rsidRPr="00017DC0">
      <w:rPr>
        <w:rFonts w:ascii="Verdana" w:hAnsi="Verdana"/>
        <w:bCs/>
        <w:sz w:val="18"/>
        <w:szCs w:val="18"/>
      </w:rPr>
      <w:fldChar w:fldCharType="end"/>
    </w:r>
  </w:p>
  <w:p w14:paraId="5885D87A" w14:textId="77777777" w:rsidR="00A83F3F" w:rsidRPr="00017DC0" w:rsidRDefault="00A83F3F" w:rsidP="0084282E">
    <w:pPr>
      <w:pStyle w:val="Footer"/>
      <w:spacing w:after="0"/>
      <w:rPr>
        <w:rFonts w:ascii="Verdana" w:hAnsi="Verdana"/>
        <w:sz w:val="18"/>
        <w:szCs w:val="18"/>
      </w:rPr>
    </w:pPr>
    <w:r w:rsidRPr="00017DC0">
      <w:rPr>
        <w:rFonts w:ascii="Verdana" w:hAnsi="Verdana"/>
        <w:sz w:val="18"/>
        <w:szCs w:val="18"/>
      </w:rPr>
      <w:t>Home Health Care CAHPS Survey Protocols and Guidelines Manual</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0EF7" w14:textId="77777777" w:rsidR="00A83F3F" w:rsidRPr="00DC64F2" w:rsidRDefault="00A83F3F" w:rsidP="002467B2">
    <w:pPr>
      <w:pStyle w:val="Footer"/>
    </w:pPr>
    <w:r>
      <w:t>R-</w:t>
    </w:r>
    <w:r>
      <w:fldChar w:fldCharType="begin"/>
    </w:r>
    <w:r>
      <w:instrText xml:space="preserve"> PAGE   \* MERGEFORMAT </w:instrText>
    </w:r>
    <w:r>
      <w:fldChar w:fldCharType="separate"/>
    </w:r>
    <w:r>
      <w:t>1</w:t>
    </w:r>
    <w:r>
      <w:fldChar w:fldCharType="end"/>
    </w:r>
    <w:r>
      <w:tab/>
    </w:r>
    <w:r w:rsidRPr="00DC64F2">
      <w:t>Centers f</w:t>
    </w:r>
    <w:r>
      <w:t>or Medicare &amp; Medicaid Services</w:t>
    </w:r>
  </w:p>
  <w:p w14:paraId="3DDCD85F" w14:textId="77777777" w:rsidR="00A83F3F" w:rsidRDefault="00A83F3F" w:rsidP="002467B2">
    <w:pPr>
      <w:pStyle w:val="Footer"/>
    </w:pPr>
    <w:r>
      <w:tab/>
      <w:t>Home Health Care CAHPS Survey Protocols and Guidelines Manual</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6E32" w14:textId="3783088F" w:rsidR="00A83F3F" w:rsidRPr="00506ED3" w:rsidRDefault="00A83F3F" w:rsidP="000F0DF7">
    <w:pPr>
      <w:pStyle w:val="Footer"/>
      <w:spacing w:after="0"/>
      <w:rPr>
        <w:rFonts w:ascii="Verdana" w:hAnsi="Verdana"/>
        <w:sz w:val="18"/>
        <w:szCs w:val="18"/>
      </w:rPr>
    </w:pPr>
    <w:r w:rsidRPr="00506ED3">
      <w:rPr>
        <w:rFonts w:ascii="Verdana" w:hAnsi="Verdana"/>
        <w:sz w:val="18"/>
        <w:szCs w:val="18"/>
      </w:rPr>
      <w:t>Centers for Medicare &amp; Medicaid Services</w:t>
    </w:r>
    <w:r w:rsidRPr="00506ED3">
      <w:rPr>
        <w:rFonts w:ascii="Verdana" w:hAnsi="Verdana"/>
        <w:sz w:val="18"/>
        <w:szCs w:val="18"/>
      </w:rPr>
      <w:tab/>
    </w:r>
    <w:r w:rsidR="000F0DF7" w:rsidRPr="00506ED3">
      <w:rPr>
        <w:rFonts w:ascii="Verdana" w:hAnsi="Verdana"/>
        <w:sz w:val="18"/>
        <w:szCs w:val="18"/>
        <w:lang w:val="en-US"/>
      </w:rPr>
      <w:t>A</w:t>
    </w:r>
    <w:r w:rsidRPr="00506ED3">
      <w:rPr>
        <w:rFonts w:ascii="Verdana" w:hAnsi="Verdana"/>
        <w:sz w:val="18"/>
        <w:szCs w:val="18"/>
      </w:rPr>
      <w:t>-</w:t>
    </w:r>
    <w:r w:rsidRPr="00506ED3">
      <w:rPr>
        <w:rFonts w:ascii="Verdana" w:hAnsi="Verdana"/>
        <w:sz w:val="18"/>
        <w:szCs w:val="18"/>
      </w:rPr>
      <w:fldChar w:fldCharType="begin"/>
    </w:r>
    <w:r w:rsidRPr="00506ED3">
      <w:rPr>
        <w:rFonts w:ascii="Verdana" w:hAnsi="Verdana"/>
        <w:sz w:val="18"/>
        <w:szCs w:val="18"/>
      </w:rPr>
      <w:instrText xml:space="preserve"> PAGE   \* MERGEFORMAT </w:instrText>
    </w:r>
    <w:r w:rsidRPr="00506ED3">
      <w:rPr>
        <w:rFonts w:ascii="Verdana" w:hAnsi="Verdana"/>
        <w:sz w:val="18"/>
        <w:szCs w:val="18"/>
      </w:rPr>
      <w:fldChar w:fldCharType="separate"/>
    </w:r>
    <w:r w:rsidRPr="00506ED3">
      <w:rPr>
        <w:rFonts w:ascii="Verdana" w:hAnsi="Verdana"/>
        <w:noProof/>
        <w:sz w:val="18"/>
        <w:szCs w:val="18"/>
      </w:rPr>
      <w:t>116</w:t>
    </w:r>
    <w:r w:rsidRPr="00506ED3">
      <w:rPr>
        <w:rFonts w:ascii="Verdana" w:hAnsi="Verdana"/>
        <w:sz w:val="18"/>
        <w:szCs w:val="18"/>
      </w:rPr>
      <w:fldChar w:fldCharType="end"/>
    </w:r>
  </w:p>
  <w:p w14:paraId="15E853DA" w14:textId="77777777" w:rsidR="00A83F3F" w:rsidRPr="00506ED3" w:rsidRDefault="00A83F3F" w:rsidP="000F0DF7">
    <w:pPr>
      <w:pStyle w:val="Footer"/>
      <w:spacing w:after="0"/>
      <w:rPr>
        <w:rFonts w:ascii="Verdana" w:hAnsi="Verdana"/>
        <w:sz w:val="18"/>
        <w:szCs w:val="18"/>
      </w:rPr>
    </w:pPr>
    <w:r w:rsidRPr="00506ED3">
      <w:rPr>
        <w:rFonts w:ascii="Verdana" w:hAnsi="Verdana"/>
        <w:sz w:val="18"/>
        <w:szCs w:val="18"/>
      </w:rPr>
      <w:t>Home Health Care CAHPS Survey Protocols and Guidelines Manual</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034B" w14:textId="50F97117" w:rsidR="00A83F3F" w:rsidRPr="00506ED3" w:rsidRDefault="00A83F3F" w:rsidP="000F0DF7">
    <w:pPr>
      <w:pStyle w:val="Footer"/>
      <w:spacing w:after="0"/>
      <w:rPr>
        <w:rFonts w:ascii="Verdana" w:hAnsi="Verdana"/>
        <w:sz w:val="18"/>
        <w:szCs w:val="18"/>
      </w:rPr>
    </w:pPr>
    <w:r w:rsidRPr="00506ED3">
      <w:rPr>
        <w:rFonts w:ascii="Verdana" w:hAnsi="Verdana"/>
        <w:sz w:val="18"/>
        <w:szCs w:val="18"/>
      </w:rPr>
      <w:t>Centers for Medicare &amp; Medicaid Services</w:t>
    </w:r>
    <w:r w:rsidRPr="00506ED3">
      <w:rPr>
        <w:rFonts w:ascii="Verdana" w:hAnsi="Verdana"/>
        <w:sz w:val="18"/>
        <w:szCs w:val="18"/>
      </w:rPr>
      <w:tab/>
    </w:r>
    <w:r w:rsidR="000F0DF7" w:rsidRPr="00506ED3">
      <w:rPr>
        <w:rFonts w:ascii="Verdana" w:hAnsi="Verdana"/>
        <w:sz w:val="18"/>
        <w:szCs w:val="18"/>
      </w:rPr>
      <w:t>A</w:t>
    </w:r>
    <w:r w:rsidRPr="00506ED3">
      <w:rPr>
        <w:rFonts w:ascii="Verdana" w:hAnsi="Verdana"/>
        <w:sz w:val="18"/>
        <w:szCs w:val="18"/>
      </w:rPr>
      <w:t>-</w:t>
    </w:r>
    <w:r w:rsidRPr="00506ED3">
      <w:rPr>
        <w:rFonts w:ascii="Verdana" w:hAnsi="Verdana"/>
        <w:sz w:val="18"/>
        <w:szCs w:val="18"/>
      </w:rPr>
      <w:fldChar w:fldCharType="begin"/>
    </w:r>
    <w:r w:rsidRPr="00506ED3">
      <w:rPr>
        <w:rFonts w:ascii="Verdana" w:hAnsi="Verdana"/>
        <w:sz w:val="18"/>
        <w:szCs w:val="18"/>
      </w:rPr>
      <w:instrText xml:space="preserve"> PAGE   \* MERGEFORMAT </w:instrText>
    </w:r>
    <w:r w:rsidRPr="00506ED3">
      <w:rPr>
        <w:rFonts w:ascii="Verdana" w:hAnsi="Verdana"/>
        <w:sz w:val="18"/>
        <w:szCs w:val="18"/>
      </w:rPr>
      <w:fldChar w:fldCharType="separate"/>
    </w:r>
    <w:r w:rsidRPr="00506ED3">
      <w:rPr>
        <w:rFonts w:ascii="Verdana" w:hAnsi="Verdana"/>
        <w:sz w:val="18"/>
        <w:szCs w:val="18"/>
      </w:rPr>
      <w:t>1</w:t>
    </w:r>
    <w:r w:rsidRPr="00506ED3">
      <w:rPr>
        <w:rFonts w:ascii="Verdana" w:hAnsi="Verdana"/>
        <w:sz w:val="18"/>
        <w:szCs w:val="18"/>
      </w:rPr>
      <w:fldChar w:fldCharType="end"/>
    </w:r>
  </w:p>
  <w:p w14:paraId="138B4AA3" w14:textId="77777777" w:rsidR="00A83F3F" w:rsidRPr="00506ED3" w:rsidRDefault="00A83F3F" w:rsidP="000F0DF7">
    <w:pPr>
      <w:pStyle w:val="Footer"/>
      <w:spacing w:after="0"/>
      <w:rPr>
        <w:rFonts w:ascii="Verdana" w:hAnsi="Verdana"/>
        <w:sz w:val="18"/>
        <w:szCs w:val="18"/>
      </w:rPr>
    </w:pPr>
    <w:r w:rsidRPr="00506ED3">
      <w:rPr>
        <w:rFonts w:ascii="Verdana" w:hAnsi="Verdana"/>
        <w:sz w:val="18"/>
        <w:szCs w:val="18"/>
      </w:rPr>
      <w:t>Home Health Care CAHPS Survey Protocols and Guidelines Manual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845D" w14:textId="77777777" w:rsidR="006E23DC" w:rsidRDefault="006E23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A7A0" w14:textId="77777777" w:rsidR="00A83F3F" w:rsidRPr="00662B4E" w:rsidRDefault="00A83F3F" w:rsidP="00662B4E">
    <w:pPr>
      <w:pStyle w:val="Footer"/>
      <w:pBdr>
        <w:top w:val="single" w:sz="8" w:space="3" w:color="1F497D"/>
      </w:pBdr>
      <w:spacing w:after="0"/>
      <w:rPr>
        <w:rFonts w:ascii="Verdana" w:hAnsi="Verdana"/>
        <w:sz w:val="18"/>
        <w:szCs w:val="18"/>
      </w:rPr>
    </w:pPr>
    <w:r w:rsidRPr="00662B4E">
      <w:rPr>
        <w:rFonts w:ascii="Verdana" w:hAnsi="Verdana"/>
        <w:sz w:val="18"/>
        <w:szCs w:val="18"/>
      </w:rPr>
      <w:t>Centers for Medicare &amp; Medicaid Services</w:t>
    </w:r>
    <w:r w:rsidRPr="00662B4E">
      <w:rPr>
        <w:rFonts w:ascii="Verdana" w:hAnsi="Verdana"/>
        <w:sz w:val="18"/>
        <w:szCs w:val="18"/>
      </w:rPr>
      <w:tab/>
    </w:r>
    <w:r w:rsidRPr="00662B4E">
      <w:rPr>
        <w:rFonts w:ascii="Verdana" w:hAnsi="Verdana"/>
        <w:sz w:val="18"/>
        <w:szCs w:val="18"/>
      </w:rPr>
      <w:fldChar w:fldCharType="begin"/>
    </w:r>
    <w:r w:rsidRPr="00662B4E">
      <w:rPr>
        <w:rFonts w:ascii="Verdana" w:hAnsi="Verdana"/>
        <w:sz w:val="18"/>
        <w:szCs w:val="18"/>
      </w:rPr>
      <w:instrText xml:space="preserve"> PAGE   \* MERGEFORMAT </w:instrText>
    </w:r>
    <w:r w:rsidRPr="00662B4E">
      <w:rPr>
        <w:rFonts w:ascii="Verdana" w:hAnsi="Verdana"/>
        <w:sz w:val="18"/>
        <w:szCs w:val="18"/>
      </w:rPr>
      <w:fldChar w:fldCharType="separate"/>
    </w:r>
    <w:r w:rsidRPr="00662B4E">
      <w:rPr>
        <w:rFonts w:ascii="Verdana" w:hAnsi="Verdana"/>
        <w:noProof/>
        <w:sz w:val="18"/>
        <w:szCs w:val="18"/>
      </w:rPr>
      <w:t>i</w:t>
    </w:r>
    <w:r w:rsidRPr="00662B4E">
      <w:rPr>
        <w:rFonts w:ascii="Verdana" w:hAnsi="Verdana"/>
        <w:sz w:val="18"/>
        <w:szCs w:val="18"/>
      </w:rPr>
      <w:fldChar w:fldCharType="end"/>
    </w:r>
  </w:p>
  <w:p w14:paraId="0EB35A2D" w14:textId="77777777" w:rsidR="00A83F3F" w:rsidRPr="00662B4E" w:rsidRDefault="00A83F3F" w:rsidP="00662B4E">
    <w:pPr>
      <w:pStyle w:val="Footer"/>
      <w:pBdr>
        <w:top w:val="single" w:sz="8" w:space="3" w:color="1F497D"/>
      </w:pBdr>
      <w:spacing w:after="0"/>
      <w:rPr>
        <w:rFonts w:ascii="Verdana" w:hAnsi="Verdana"/>
        <w:sz w:val="18"/>
        <w:szCs w:val="18"/>
      </w:rPr>
    </w:pPr>
    <w:r w:rsidRPr="00662B4E">
      <w:rPr>
        <w:rFonts w:ascii="Verdana" w:hAnsi="Verdana"/>
        <w:sz w:val="18"/>
        <w:szCs w:val="18"/>
      </w:rPr>
      <w:t>Home Health Care CAHPS Survey Protocols and Guidelines Manual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707A" w14:textId="77777777" w:rsidR="00A83F3F" w:rsidRPr="00DC64F2" w:rsidRDefault="00A83F3F" w:rsidP="007D44EA">
    <w:pPr>
      <w:pStyle w:val="Footer"/>
    </w:pPr>
    <w:r w:rsidRPr="007C6B07">
      <w:rPr>
        <w:bCs/>
      </w:rPr>
      <w:fldChar w:fldCharType="begin"/>
    </w:r>
    <w:r w:rsidRPr="007C6B07">
      <w:rPr>
        <w:bCs/>
      </w:rPr>
      <w:instrText xml:space="preserve"> PAGE   \* MERGEFORMAT </w:instrText>
    </w:r>
    <w:r w:rsidRPr="007C6B07">
      <w:rPr>
        <w:bCs/>
      </w:rPr>
      <w:fldChar w:fldCharType="separate"/>
    </w:r>
    <w:r w:rsidRPr="007C6B07">
      <w:rPr>
        <w:bCs/>
        <w:noProof/>
      </w:rPr>
      <w:t>iv</w:t>
    </w:r>
    <w:r w:rsidRPr="007C6B07">
      <w:rPr>
        <w:bCs/>
      </w:rPr>
      <w:fldChar w:fldCharType="end"/>
    </w:r>
    <w:r>
      <w:tab/>
    </w:r>
    <w:r w:rsidRPr="00DC64F2">
      <w:t>Centers f</w:t>
    </w:r>
    <w:r>
      <w:t>or Medicare &amp; Medicaid Services</w:t>
    </w:r>
  </w:p>
  <w:p w14:paraId="1A4FFC6C" w14:textId="77777777" w:rsidR="00A83F3F" w:rsidRDefault="00A83F3F" w:rsidP="007D44EA">
    <w:pPr>
      <w:pStyle w:val="Footer"/>
    </w:pPr>
    <w:r>
      <w:tab/>
    </w:r>
    <w:r w:rsidRPr="00DC64F2">
      <w:t xml:space="preserve">Home Health </w:t>
    </w:r>
    <w:r>
      <w:t xml:space="preserve">Care </w:t>
    </w:r>
    <w:r w:rsidRPr="00DC64F2">
      <w:t xml:space="preserve">CAHPS </w:t>
    </w:r>
    <w:r>
      <w:t xml:space="preserve">Survey </w:t>
    </w:r>
    <w:r w:rsidRPr="00DC64F2">
      <w:t>Protocols and Guidelines Manual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2D91" w14:textId="77777777" w:rsidR="00A83F3F" w:rsidRPr="002C066E" w:rsidRDefault="00A83F3F" w:rsidP="002C066E">
    <w:pPr>
      <w:pStyle w:val="Footer"/>
      <w:spacing w:after="0"/>
      <w:rPr>
        <w:rFonts w:ascii="Verdana" w:hAnsi="Verdana"/>
        <w:sz w:val="18"/>
        <w:szCs w:val="18"/>
      </w:rPr>
    </w:pPr>
    <w:r w:rsidRPr="002C066E">
      <w:rPr>
        <w:rFonts w:ascii="Verdana" w:hAnsi="Verdana"/>
        <w:sz w:val="18"/>
        <w:szCs w:val="18"/>
      </w:rPr>
      <w:t>Centers for Medicare &amp; Medicaid Services</w:t>
    </w:r>
    <w:r w:rsidRPr="002C066E">
      <w:rPr>
        <w:rFonts w:ascii="Verdana" w:hAnsi="Verdana"/>
        <w:sz w:val="18"/>
        <w:szCs w:val="18"/>
      </w:rPr>
      <w:tab/>
    </w:r>
    <w:r w:rsidRPr="002C066E">
      <w:rPr>
        <w:rFonts w:ascii="Verdana" w:hAnsi="Verdana"/>
        <w:bCs/>
        <w:sz w:val="18"/>
        <w:szCs w:val="18"/>
      </w:rPr>
      <w:fldChar w:fldCharType="begin"/>
    </w:r>
    <w:r w:rsidRPr="002C066E">
      <w:rPr>
        <w:rFonts w:ascii="Verdana" w:hAnsi="Verdana"/>
        <w:bCs/>
        <w:sz w:val="18"/>
        <w:szCs w:val="18"/>
      </w:rPr>
      <w:instrText xml:space="preserve"> PAGE   \* MERGEFORMAT </w:instrText>
    </w:r>
    <w:r w:rsidRPr="002C066E">
      <w:rPr>
        <w:rFonts w:ascii="Verdana" w:hAnsi="Verdana"/>
        <w:bCs/>
        <w:sz w:val="18"/>
        <w:szCs w:val="18"/>
      </w:rPr>
      <w:fldChar w:fldCharType="separate"/>
    </w:r>
    <w:r w:rsidRPr="002C066E">
      <w:rPr>
        <w:rFonts w:ascii="Verdana" w:hAnsi="Verdana"/>
        <w:bCs/>
        <w:noProof/>
        <w:sz w:val="18"/>
        <w:szCs w:val="18"/>
      </w:rPr>
      <w:t>iii</w:t>
    </w:r>
    <w:r w:rsidRPr="002C066E">
      <w:rPr>
        <w:rFonts w:ascii="Verdana" w:hAnsi="Verdana"/>
        <w:bCs/>
        <w:sz w:val="18"/>
        <w:szCs w:val="18"/>
      </w:rPr>
      <w:fldChar w:fldCharType="end"/>
    </w:r>
  </w:p>
  <w:p w14:paraId="2064BF70" w14:textId="77777777" w:rsidR="00A83F3F" w:rsidRPr="002C066E" w:rsidRDefault="00A83F3F" w:rsidP="002C066E">
    <w:pPr>
      <w:pStyle w:val="Footer"/>
      <w:spacing w:after="0"/>
      <w:rPr>
        <w:rFonts w:ascii="Verdana" w:hAnsi="Verdana"/>
        <w:sz w:val="18"/>
        <w:szCs w:val="18"/>
      </w:rPr>
    </w:pPr>
    <w:r w:rsidRPr="002C066E">
      <w:rPr>
        <w:rFonts w:ascii="Verdana" w:hAnsi="Verdana"/>
        <w:sz w:val="18"/>
        <w:szCs w:val="18"/>
      </w:rPr>
      <w:t>Home Health Care CAHPS Survey Protocols and Guidelines Manual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CFAF" w14:textId="77777777" w:rsidR="00A83F3F" w:rsidRPr="00150E99" w:rsidRDefault="00A83F3F" w:rsidP="00150E99">
    <w:pPr>
      <w:pStyle w:val="Footer"/>
      <w:pBdr>
        <w:top w:val="single" w:sz="8" w:space="3" w:color="1F497D"/>
      </w:pBdr>
      <w:rPr>
        <w:rFonts w:ascii="Verdana" w:hAnsi="Verdana"/>
        <w:b w:val="0"/>
        <w:sz w:val="18"/>
        <w:szCs w:val="18"/>
      </w:rPr>
    </w:pPr>
    <w:r w:rsidRPr="00150E99">
      <w:rPr>
        <w:rFonts w:ascii="Verdana" w:hAnsi="Verdana"/>
        <w:bCs/>
        <w:sz w:val="18"/>
        <w:szCs w:val="18"/>
      </w:rPr>
      <w:fldChar w:fldCharType="begin"/>
    </w:r>
    <w:r w:rsidRPr="00150E99">
      <w:rPr>
        <w:rFonts w:ascii="Verdana" w:hAnsi="Verdana"/>
        <w:bCs/>
        <w:sz w:val="18"/>
        <w:szCs w:val="18"/>
      </w:rPr>
      <w:instrText xml:space="preserve"> PAGE   \* MERGEFORMAT </w:instrText>
    </w:r>
    <w:r w:rsidRPr="00150E99">
      <w:rPr>
        <w:rFonts w:ascii="Verdana" w:hAnsi="Verdana"/>
        <w:bCs/>
        <w:sz w:val="18"/>
        <w:szCs w:val="18"/>
      </w:rPr>
      <w:fldChar w:fldCharType="separate"/>
    </w:r>
    <w:r w:rsidRPr="00150E99">
      <w:rPr>
        <w:rFonts w:ascii="Verdana" w:hAnsi="Verdana"/>
        <w:bCs/>
        <w:noProof/>
        <w:sz w:val="18"/>
        <w:szCs w:val="18"/>
      </w:rPr>
      <w:t>viii</w:t>
    </w:r>
    <w:r w:rsidRPr="00150E99">
      <w:rPr>
        <w:rFonts w:ascii="Verdana" w:hAnsi="Verdana"/>
        <w:bCs/>
        <w:sz w:val="18"/>
        <w:szCs w:val="18"/>
      </w:rPr>
      <w:fldChar w:fldCharType="end"/>
    </w:r>
    <w:r w:rsidRPr="00150E99">
      <w:rPr>
        <w:rFonts w:ascii="Verdana" w:hAnsi="Verdana"/>
        <w:bCs/>
        <w:sz w:val="18"/>
        <w:szCs w:val="18"/>
      </w:rPr>
      <w:tab/>
    </w:r>
    <w:r w:rsidRPr="00150E99">
      <w:rPr>
        <w:rFonts w:ascii="Verdana" w:hAnsi="Verdana"/>
        <w:b w:val="0"/>
        <w:sz w:val="18"/>
        <w:szCs w:val="18"/>
      </w:rPr>
      <w:t>Centers for Medicare &amp; Medicaid Services</w:t>
    </w:r>
  </w:p>
  <w:p w14:paraId="0F9E27EC" w14:textId="77777777" w:rsidR="00A83F3F" w:rsidRPr="00150E99" w:rsidRDefault="00A83F3F" w:rsidP="00150E99">
    <w:pPr>
      <w:pStyle w:val="Footer"/>
      <w:pBdr>
        <w:top w:val="single" w:sz="8" w:space="3" w:color="1F497D"/>
      </w:pBdr>
      <w:rPr>
        <w:rFonts w:ascii="Verdana" w:hAnsi="Verdana"/>
        <w:b w:val="0"/>
        <w:sz w:val="18"/>
        <w:szCs w:val="18"/>
      </w:rPr>
    </w:pPr>
    <w:r w:rsidRPr="00150E99">
      <w:rPr>
        <w:rFonts w:ascii="Verdana" w:hAnsi="Verdana"/>
        <w:b w:val="0"/>
        <w:sz w:val="18"/>
        <w:szCs w:val="18"/>
      </w:rPr>
      <w:tab/>
      <w:t>Home Health Care CAHPS Survey Protocols and Guidelines Manual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9518" w14:textId="77777777" w:rsidR="00A83F3F" w:rsidRPr="001A4009" w:rsidRDefault="00A83F3F" w:rsidP="001A4009">
    <w:pPr>
      <w:pStyle w:val="Footer"/>
      <w:pBdr>
        <w:top w:val="single" w:sz="8" w:space="3" w:color="1F497D"/>
      </w:pBdr>
      <w:rPr>
        <w:rFonts w:ascii="Verdana" w:hAnsi="Verdana"/>
        <w:b w:val="0"/>
        <w:sz w:val="18"/>
        <w:szCs w:val="18"/>
      </w:rPr>
    </w:pPr>
    <w:r w:rsidRPr="001A4009">
      <w:rPr>
        <w:rFonts w:ascii="Verdana" w:hAnsi="Verdana"/>
        <w:bCs/>
        <w:sz w:val="18"/>
        <w:szCs w:val="18"/>
      </w:rPr>
      <w:fldChar w:fldCharType="begin"/>
    </w:r>
    <w:r w:rsidRPr="001A4009">
      <w:rPr>
        <w:rFonts w:ascii="Verdana" w:hAnsi="Verdana"/>
        <w:bCs/>
        <w:sz w:val="18"/>
        <w:szCs w:val="18"/>
      </w:rPr>
      <w:instrText xml:space="preserve"> PAGE   \* MERGEFORMAT </w:instrText>
    </w:r>
    <w:r w:rsidRPr="001A4009">
      <w:rPr>
        <w:rFonts w:ascii="Verdana" w:hAnsi="Verdana"/>
        <w:bCs/>
        <w:sz w:val="18"/>
        <w:szCs w:val="18"/>
      </w:rPr>
      <w:fldChar w:fldCharType="separate"/>
    </w:r>
    <w:r w:rsidRPr="001A4009">
      <w:rPr>
        <w:rFonts w:ascii="Verdana" w:hAnsi="Verdana"/>
        <w:bCs/>
        <w:noProof/>
        <w:sz w:val="18"/>
        <w:szCs w:val="18"/>
      </w:rPr>
      <w:t>4</w:t>
    </w:r>
    <w:r w:rsidRPr="001A4009">
      <w:rPr>
        <w:rFonts w:ascii="Verdana" w:hAnsi="Verdana"/>
        <w:bCs/>
        <w:sz w:val="18"/>
        <w:szCs w:val="18"/>
      </w:rPr>
      <w:fldChar w:fldCharType="end"/>
    </w:r>
    <w:r w:rsidRPr="001A4009">
      <w:rPr>
        <w:rFonts w:ascii="Verdana" w:hAnsi="Verdana"/>
        <w:b w:val="0"/>
        <w:sz w:val="18"/>
        <w:szCs w:val="18"/>
      </w:rPr>
      <w:tab/>
      <w:t>Centers for Medicare &amp; Medicaid Services</w:t>
    </w:r>
  </w:p>
  <w:p w14:paraId="51898A0B" w14:textId="77777777" w:rsidR="00A83F3F" w:rsidRPr="001A4009" w:rsidRDefault="00A83F3F" w:rsidP="001A4009">
    <w:pPr>
      <w:pStyle w:val="Footer"/>
      <w:pBdr>
        <w:top w:val="single" w:sz="8" w:space="3" w:color="1F497D"/>
      </w:pBdr>
      <w:rPr>
        <w:rFonts w:ascii="Verdana" w:hAnsi="Verdana"/>
        <w:b w:val="0"/>
        <w:sz w:val="18"/>
        <w:szCs w:val="18"/>
      </w:rPr>
    </w:pPr>
    <w:r w:rsidRPr="001A4009">
      <w:rPr>
        <w:rFonts w:ascii="Verdana" w:hAnsi="Verdana"/>
        <w:b w:val="0"/>
        <w:sz w:val="18"/>
        <w:szCs w:val="18"/>
      </w:rPr>
      <w:tab/>
      <w:t>Home Health Care CAHPS Survey Protocols and Guidelines Manual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F910" w14:textId="77777777" w:rsidR="00A83F3F" w:rsidRPr="00662B4E" w:rsidRDefault="00A83F3F" w:rsidP="003264F7">
    <w:pPr>
      <w:pStyle w:val="Footer"/>
      <w:pBdr>
        <w:top w:val="single" w:sz="8" w:space="3" w:color="1F497D"/>
      </w:pBdr>
      <w:spacing w:after="0"/>
      <w:rPr>
        <w:rFonts w:ascii="Verdana" w:hAnsi="Verdana"/>
        <w:sz w:val="18"/>
        <w:szCs w:val="18"/>
      </w:rPr>
    </w:pPr>
    <w:r w:rsidRPr="00662B4E">
      <w:rPr>
        <w:rFonts w:ascii="Verdana" w:hAnsi="Verdana"/>
        <w:sz w:val="18"/>
        <w:szCs w:val="18"/>
      </w:rPr>
      <w:t>Centers for Medicare &amp; Medicaid Services</w:t>
    </w:r>
    <w:r w:rsidRPr="00662B4E">
      <w:rPr>
        <w:rFonts w:ascii="Verdana" w:hAnsi="Verdana"/>
        <w:sz w:val="18"/>
        <w:szCs w:val="18"/>
      </w:rPr>
      <w:tab/>
    </w:r>
    <w:r w:rsidRPr="00662B4E">
      <w:rPr>
        <w:rFonts w:ascii="Verdana" w:hAnsi="Verdana"/>
        <w:sz w:val="18"/>
        <w:szCs w:val="18"/>
      </w:rPr>
      <w:fldChar w:fldCharType="begin"/>
    </w:r>
    <w:r w:rsidRPr="00662B4E">
      <w:rPr>
        <w:rFonts w:ascii="Verdana" w:hAnsi="Verdana"/>
        <w:sz w:val="18"/>
        <w:szCs w:val="18"/>
      </w:rPr>
      <w:instrText xml:space="preserve"> PAGE   \* MERGEFORMAT </w:instrText>
    </w:r>
    <w:r w:rsidRPr="00662B4E">
      <w:rPr>
        <w:rFonts w:ascii="Verdana" w:hAnsi="Verdana"/>
        <w:sz w:val="18"/>
        <w:szCs w:val="18"/>
      </w:rPr>
      <w:fldChar w:fldCharType="separate"/>
    </w:r>
    <w:r w:rsidRPr="00662B4E">
      <w:rPr>
        <w:rFonts w:ascii="Verdana" w:hAnsi="Verdana"/>
        <w:noProof/>
        <w:sz w:val="18"/>
        <w:szCs w:val="18"/>
      </w:rPr>
      <w:t>1</w:t>
    </w:r>
    <w:r w:rsidRPr="00662B4E">
      <w:rPr>
        <w:rFonts w:ascii="Verdana" w:hAnsi="Verdana"/>
        <w:sz w:val="18"/>
        <w:szCs w:val="18"/>
      </w:rPr>
      <w:fldChar w:fldCharType="end"/>
    </w:r>
  </w:p>
  <w:p w14:paraId="5122C8CE" w14:textId="77777777" w:rsidR="00A83F3F" w:rsidRPr="00662B4E" w:rsidRDefault="00A83F3F" w:rsidP="003264F7">
    <w:pPr>
      <w:pStyle w:val="Footer"/>
      <w:pBdr>
        <w:top w:val="single" w:sz="8" w:space="3" w:color="1F497D"/>
      </w:pBdr>
      <w:spacing w:after="0"/>
      <w:rPr>
        <w:rFonts w:ascii="Verdana" w:hAnsi="Verdana"/>
        <w:sz w:val="18"/>
        <w:szCs w:val="18"/>
      </w:rPr>
    </w:pPr>
    <w:r w:rsidRPr="00662B4E">
      <w:rPr>
        <w:rFonts w:ascii="Verdana" w:hAnsi="Verdana"/>
        <w:sz w:val="18"/>
        <w:szCs w:val="18"/>
      </w:rPr>
      <w:t>Home Health Care CAHPS Survey Protocols and Guidelines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0BA7" w14:textId="77777777" w:rsidR="00CB5192" w:rsidRDefault="00CB5192" w:rsidP="00A77A17">
      <w:pPr>
        <w:spacing w:after="120"/>
      </w:pPr>
      <w:r>
        <w:separator/>
      </w:r>
    </w:p>
    <w:p w14:paraId="0F65CCEE" w14:textId="77777777" w:rsidR="00CB5192" w:rsidRDefault="00CB5192"/>
  </w:footnote>
  <w:footnote w:type="continuationSeparator" w:id="0">
    <w:p w14:paraId="1A9B6F10" w14:textId="77777777" w:rsidR="00CB5192" w:rsidRDefault="00CB5192">
      <w:r>
        <w:continuationSeparator/>
      </w:r>
    </w:p>
    <w:p w14:paraId="580076DA" w14:textId="77777777" w:rsidR="00CB5192" w:rsidRDefault="00CB5192"/>
    <w:p w14:paraId="24DC7252" w14:textId="77777777" w:rsidR="00CB5192" w:rsidRDefault="00CB5192"/>
  </w:footnote>
  <w:footnote w:type="continuationNotice" w:id="1">
    <w:p w14:paraId="6CCF55A2" w14:textId="77777777" w:rsidR="00CB5192" w:rsidRDefault="00CB5192">
      <w:pPr>
        <w:spacing w:line="240" w:lineRule="auto"/>
      </w:pPr>
    </w:p>
    <w:p w14:paraId="69151C23" w14:textId="77777777" w:rsidR="00CB5192" w:rsidRDefault="00CB5192"/>
    <w:p w14:paraId="69E56751" w14:textId="77777777" w:rsidR="00CB5192" w:rsidRDefault="00CB5192"/>
  </w:footnote>
  <w:footnote w:id="2">
    <w:p w14:paraId="10B03FC3" w14:textId="77777777" w:rsidR="00A83F3F" w:rsidRPr="001A4009" w:rsidRDefault="00A83F3F" w:rsidP="00EE74F9">
      <w:pPr>
        <w:pStyle w:val="FootnoteText"/>
        <w:rPr>
          <w:sz w:val="16"/>
          <w:szCs w:val="16"/>
        </w:rPr>
      </w:pPr>
      <w:r w:rsidRPr="001A4009">
        <w:rPr>
          <w:rStyle w:val="FootnoteReference"/>
          <w:rFonts w:ascii="Verdana" w:hAnsi="Verdana"/>
          <w:sz w:val="16"/>
          <w:szCs w:val="16"/>
        </w:rPr>
        <w:footnoteRef/>
      </w:r>
      <w:r w:rsidRPr="001A4009">
        <w:rPr>
          <w:sz w:val="16"/>
          <w:szCs w:val="16"/>
        </w:rPr>
        <w:t xml:space="preserve"> CAHPS</w:t>
      </w:r>
      <w:r w:rsidRPr="001A4009">
        <w:rPr>
          <w:sz w:val="16"/>
          <w:szCs w:val="16"/>
          <w:vertAlign w:val="superscript"/>
        </w:rPr>
        <w:t>®</w:t>
      </w:r>
      <w:r w:rsidRPr="001A4009">
        <w:rPr>
          <w:sz w:val="16"/>
          <w:szCs w:val="16"/>
        </w:rPr>
        <w:t xml:space="preserve"> is a registered trademark of the Agency for Healthcare Research and Quality, a U.S. Government agency.</w:t>
      </w:r>
    </w:p>
  </w:footnote>
  <w:footnote w:id="3">
    <w:p w14:paraId="4BD455A4" w14:textId="5215C24B" w:rsidR="00BC13DC" w:rsidRPr="00C02DC7" w:rsidRDefault="00BC13DC">
      <w:pPr>
        <w:pStyle w:val="FootnoteText"/>
        <w:rPr>
          <w:sz w:val="16"/>
          <w:szCs w:val="16"/>
          <w:lang w:val="en-US"/>
        </w:rPr>
      </w:pPr>
      <w:r w:rsidRPr="00C02DC7">
        <w:rPr>
          <w:rStyle w:val="FootnoteReference"/>
          <w:rFonts w:ascii="Verdana" w:hAnsi="Verdana"/>
          <w:sz w:val="16"/>
          <w:szCs w:val="16"/>
        </w:rPr>
        <w:footnoteRef/>
      </w:r>
      <w:r w:rsidRPr="00C02DC7">
        <w:rPr>
          <w:sz w:val="16"/>
          <w:szCs w:val="16"/>
        </w:rPr>
        <w:t xml:space="preserve"> </w:t>
      </w:r>
      <w:r w:rsidR="00ED78A6" w:rsidRPr="00C02DC7">
        <w:rPr>
          <w:sz w:val="16"/>
          <w:szCs w:val="16"/>
        </w:rPr>
        <w:t>As of the date this Manual is released, i</w:t>
      </w:r>
      <w:r w:rsidR="00ED78A6" w:rsidRPr="00C02DC7">
        <w:rPr>
          <w:sz w:val="16"/>
          <w:szCs w:val="16"/>
          <w:lang w:val="en-US"/>
        </w:rPr>
        <w:t xml:space="preserve">mplementation and corresponding </w:t>
      </w:r>
      <w:r w:rsidRPr="00C02DC7">
        <w:rPr>
          <w:sz w:val="16"/>
          <w:szCs w:val="16"/>
          <w:lang w:val="en-US"/>
        </w:rPr>
        <w:t xml:space="preserve">materials for the revised </w:t>
      </w:r>
      <w:r w:rsidR="00ED78A6" w:rsidRPr="00C02DC7">
        <w:rPr>
          <w:sz w:val="16"/>
          <w:szCs w:val="16"/>
          <w:lang w:val="en-US"/>
        </w:rPr>
        <w:t>HHCAHPS S</w:t>
      </w:r>
      <w:r w:rsidRPr="00C02DC7">
        <w:rPr>
          <w:sz w:val="16"/>
          <w:szCs w:val="16"/>
          <w:lang w:val="en-US"/>
        </w:rPr>
        <w:t>urvey are pending OMB approval.</w:t>
      </w:r>
    </w:p>
  </w:footnote>
  <w:footnote w:id="4">
    <w:p w14:paraId="548ADF20" w14:textId="77777777" w:rsidR="00A83F3F" w:rsidRPr="008A02ED" w:rsidRDefault="00A83F3F" w:rsidP="00EE74F9">
      <w:pPr>
        <w:pStyle w:val="FootnoteText"/>
        <w:rPr>
          <w:sz w:val="16"/>
          <w:szCs w:val="16"/>
        </w:rPr>
      </w:pPr>
      <w:r w:rsidRPr="008A02ED">
        <w:rPr>
          <w:rStyle w:val="FootnoteReference"/>
          <w:rFonts w:ascii="Verdana" w:hAnsi="Verdana"/>
          <w:sz w:val="16"/>
          <w:szCs w:val="16"/>
        </w:rPr>
        <w:footnoteRef/>
      </w:r>
      <w:r w:rsidRPr="008A02ED">
        <w:rPr>
          <w:sz w:val="16"/>
          <w:szCs w:val="16"/>
        </w:rPr>
        <w:t xml:space="preserve"> Centers for Medicare &amp; Medicaid Services. </w:t>
      </w:r>
      <w:r w:rsidRPr="008A02ED">
        <w:rPr>
          <w:i/>
          <w:sz w:val="16"/>
          <w:szCs w:val="16"/>
        </w:rPr>
        <w:t>Home Health Care Quality Initiative Overview</w:t>
      </w:r>
      <w:r w:rsidRPr="008A02ED">
        <w:rPr>
          <w:sz w:val="16"/>
          <w:szCs w:val="16"/>
        </w:rPr>
        <w:t xml:space="preserve">. Baltimore, MD. March 21, 2003. Available online at </w:t>
      </w:r>
      <w:hyperlink r:id="rId1" w:history="1">
        <w:r w:rsidRPr="008A02ED">
          <w:rPr>
            <w:rStyle w:val="Hyperlink"/>
            <w:sz w:val="16"/>
            <w:szCs w:val="16"/>
          </w:rPr>
          <w:t>https://www.cms.hhs.gov/HomeHealthQualityInits/</w:t>
        </w:r>
      </w:hyperlink>
      <w:r w:rsidRPr="008A02ED">
        <w:rPr>
          <w:sz w:val="16"/>
          <w:szCs w:val="16"/>
        </w:rPr>
        <w:t>.</w:t>
      </w:r>
    </w:p>
  </w:footnote>
  <w:footnote w:id="5">
    <w:p w14:paraId="58586766" w14:textId="77777777" w:rsidR="00A83F3F" w:rsidRPr="008A02ED" w:rsidRDefault="00A83F3F">
      <w:pPr>
        <w:pStyle w:val="FootnoteText"/>
        <w:rPr>
          <w:sz w:val="16"/>
          <w:szCs w:val="16"/>
          <w:lang w:val="en-US"/>
        </w:rPr>
      </w:pPr>
      <w:r w:rsidRPr="008A02ED">
        <w:rPr>
          <w:rStyle w:val="FootnoteReference"/>
          <w:rFonts w:ascii="Verdana" w:hAnsi="Verdana"/>
          <w:sz w:val="16"/>
          <w:szCs w:val="16"/>
        </w:rPr>
        <w:footnoteRef/>
      </w:r>
      <w:r w:rsidRPr="008A02ED">
        <w:rPr>
          <w:sz w:val="16"/>
          <w:szCs w:val="16"/>
        </w:rPr>
        <w:t xml:space="preserve"> </w:t>
      </w:r>
      <w:r w:rsidRPr="008A02ED">
        <w:rPr>
          <w:sz w:val="16"/>
          <w:szCs w:val="16"/>
          <w:lang w:val="en-US"/>
        </w:rPr>
        <w:t>The APU is an annual payment increase adjustment that agencies receive when they have met CMS’s quality reporting requirements.</w:t>
      </w:r>
    </w:p>
  </w:footnote>
  <w:footnote w:id="6">
    <w:p w14:paraId="18EB8E5F" w14:textId="7F72A0C4" w:rsidR="005B3988" w:rsidRPr="00F067F5" w:rsidRDefault="005B3988">
      <w:pPr>
        <w:pStyle w:val="FootnoteText"/>
        <w:rPr>
          <w:sz w:val="16"/>
          <w:szCs w:val="16"/>
          <w:lang w:val="en-US"/>
        </w:rPr>
      </w:pPr>
      <w:r w:rsidRPr="00F067F5">
        <w:rPr>
          <w:rStyle w:val="FootnoteReference"/>
          <w:rFonts w:ascii="Verdana" w:hAnsi="Verdana"/>
          <w:sz w:val="16"/>
          <w:szCs w:val="16"/>
        </w:rPr>
        <w:footnoteRef/>
      </w:r>
      <w:r w:rsidRPr="00F067F5">
        <w:rPr>
          <w:sz w:val="16"/>
          <w:szCs w:val="16"/>
        </w:rPr>
        <w:t xml:space="preserve"> </w:t>
      </w:r>
      <w:r w:rsidRPr="00F067F5">
        <w:rPr>
          <w:sz w:val="16"/>
          <w:szCs w:val="16"/>
          <w:lang w:val="en-US"/>
        </w:rPr>
        <w:t>HHCAHPS Survey questions referenced reflect the revised survey instrument effective with the April 2026 sample month.</w:t>
      </w:r>
    </w:p>
  </w:footnote>
  <w:footnote w:id="7">
    <w:p w14:paraId="2C0738D1" w14:textId="30E81F0F" w:rsidR="00ED78A6" w:rsidRPr="00FD44BC" w:rsidRDefault="00ED78A6">
      <w:pPr>
        <w:pStyle w:val="FootnoteText"/>
        <w:rPr>
          <w:sz w:val="16"/>
          <w:szCs w:val="16"/>
          <w:lang w:val="en-US"/>
        </w:rPr>
      </w:pPr>
      <w:r w:rsidRPr="00FD44BC">
        <w:rPr>
          <w:rStyle w:val="FootnoteReference"/>
          <w:rFonts w:ascii="Verdana" w:hAnsi="Verdana"/>
          <w:sz w:val="16"/>
          <w:szCs w:val="16"/>
        </w:rPr>
        <w:footnoteRef/>
      </w:r>
      <w:r w:rsidRPr="00FD44BC">
        <w:rPr>
          <w:sz w:val="16"/>
          <w:szCs w:val="16"/>
        </w:rPr>
        <w:t xml:space="preserve"> As of the date this Manual is released, i</w:t>
      </w:r>
      <w:r w:rsidRPr="00FD44BC">
        <w:rPr>
          <w:sz w:val="16"/>
          <w:szCs w:val="16"/>
          <w:lang w:val="en-US"/>
        </w:rPr>
        <w:t>mplementation and corresponding materials for the revised HHCAHPS Survey are pending OMB approval.</w:t>
      </w:r>
    </w:p>
  </w:footnote>
  <w:footnote w:id="8">
    <w:p w14:paraId="44616D72" w14:textId="77777777" w:rsidR="00A75CC2" w:rsidRPr="00A75CC2" w:rsidRDefault="00A75CC2" w:rsidP="00A75CC2">
      <w:pPr>
        <w:pStyle w:val="FootnoteText"/>
        <w:rPr>
          <w:lang w:val="en-US"/>
        </w:rPr>
      </w:pPr>
      <w:r>
        <w:rPr>
          <w:rStyle w:val="FootnoteReference"/>
        </w:rPr>
        <w:footnoteRef/>
      </w:r>
      <w:r>
        <w:t xml:space="preserve"> </w:t>
      </w:r>
      <w:r w:rsidRPr="00FD44BC">
        <w:rPr>
          <w:sz w:val="16"/>
          <w:szCs w:val="16"/>
        </w:rPr>
        <w:t>As of the date this Manual is released, i</w:t>
      </w:r>
      <w:r w:rsidRPr="00FD44BC">
        <w:rPr>
          <w:sz w:val="16"/>
          <w:szCs w:val="16"/>
          <w:lang w:val="en-US"/>
        </w:rPr>
        <w:t>mplementation and corresponding materials for the revised HHCAHPS Survey are pending OMB approval.</w:t>
      </w:r>
    </w:p>
  </w:footnote>
  <w:footnote w:id="9">
    <w:p w14:paraId="5283AAF7" w14:textId="77777777" w:rsidR="00A83F3F" w:rsidRPr="00CF0784" w:rsidRDefault="00A83F3F" w:rsidP="00EE74F9">
      <w:pPr>
        <w:pStyle w:val="FootnoteText"/>
        <w:rPr>
          <w:lang w:val="en-US"/>
        </w:rPr>
      </w:pPr>
      <w:r w:rsidRPr="005904E5">
        <w:rPr>
          <w:rStyle w:val="FootnoteReference"/>
        </w:rPr>
        <w:footnoteRef/>
      </w:r>
      <w:r w:rsidRPr="005904E5">
        <w:t xml:space="preserve"> </w:t>
      </w:r>
      <w:r w:rsidRPr="00705429">
        <w:rPr>
          <w:sz w:val="16"/>
          <w:szCs w:val="16"/>
        </w:rPr>
        <w:t xml:space="preserve">The American Association of Public Opinion Researchers website at </w:t>
      </w:r>
      <w:hyperlink r:id="rId2" w:history="1">
        <w:r w:rsidR="00B901F0" w:rsidRPr="00705429">
          <w:rPr>
            <w:rStyle w:val="Hyperlink"/>
            <w:sz w:val="16"/>
            <w:szCs w:val="16"/>
          </w:rPr>
          <w:t>https://www.aapor.org/Standards-Ethics/Institutional-Review-Boards/</w:t>
        </w:r>
      </w:hyperlink>
      <w:r w:rsidR="00B901F0" w:rsidRPr="00705429">
        <w:rPr>
          <w:sz w:val="16"/>
          <w:szCs w:val="16"/>
          <w:lang w:val="en-US"/>
        </w:rPr>
        <w:t xml:space="preserve"> </w:t>
      </w:r>
      <w:r w:rsidRPr="00705429">
        <w:rPr>
          <w:noProof/>
          <w:sz w:val="16"/>
          <w:szCs w:val="16"/>
        </w:rPr>
        <w:drawing>
          <wp:inline distT="0" distB="0" distL="0" distR="0" wp14:anchorId="586F9BF6" wp14:editId="4CBF12DE">
            <wp:extent cx="93023" cy="93023"/>
            <wp:effectExtent l="0" t="0" r="0" b="0"/>
            <wp:docPr id="2051326787" name="Picture 2051326787"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exit icon"/>
                    <pic:cNvPicPr/>
                  </pic:nvPicPr>
                  <pic:blipFill>
                    <a:blip r:embed="rId3">
                      <a:extLst>
                        <a:ext uri="{28A0092B-C50C-407E-A947-70E740481C1C}">
                          <a14:useLocalDpi xmlns:a14="http://schemas.microsoft.com/office/drawing/2010/main" val="0"/>
                        </a:ext>
                      </a:extLst>
                    </a:blip>
                    <a:stretch>
                      <a:fillRect/>
                    </a:stretch>
                  </pic:blipFill>
                  <pic:spPr>
                    <a:xfrm>
                      <a:off x="0" y="0"/>
                      <a:ext cx="92710" cy="92710"/>
                    </a:xfrm>
                    <a:prstGeom prst="rect">
                      <a:avLst/>
                    </a:prstGeom>
                  </pic:spPr>
                </pic:pic>
              </a:graphicData>
            </a:graphic>
          </wp:inline>
        </w:drawing>
      </w:r>
      <w:r w:rsidRPr="00705429">
        <w:rPr>
          <w:sz w:val="16"/>
          <w:szCs w:val="16"/>
        </w:rPr>
        <w:t xml:space="preserve">, </w:t>
      </w:r>
      <w:r w:rsidR="00A62FB6" w:rsidRPr="00705429">
        <w:rPr>
          <w:sz w:val="16"/>
          <w:szCs w:val="16"/>
        </w:rPr>
        <w:t>2014</w:t>
      </w:r>
      <w:r w:rsidRPr="00705429">
        <w:rPr>
          <w:sz w:val="16"/>
          <w:szCs w:val="16"/>
        </w:rPr>
        <w:t>.</w:t>
      </w:r>
    </w:p>
  </w:footnote>
  <w:footnote w:id="10">
    <w:p w14:paraId="2042A9B0" w14:textId="1EC0EF08" w:rsidR="00A83F3F" w:rsidRPr="003264F7" w:rsidRDefault="00A83F3F" w:rsidP="00EE74F9">
      <w:pPr>
        <w:pStyle w:val="FootnoteText"/>
        <w:rPr>
          <w:sz w:val="16"/>
          <w:szCs w:val="16"/>
        </w:rPr>
      </w:pPr>
      <w:r w:rsidRPr="003264F7">
        <w:rPr>
          <w:rStyle w:val="FootnoteReference"/>
          <w:rFonts w:ascii="Verdana" w:hAnsi="Verdana"/>
          <w:sz w:val="16"/>
          <w:szCs w:val="16"/>
        </w:rPr>
        <w:footnoteRef/>
      </w:r>
      <w:r w:rsidRPr="003264F7">
        <w:rPr>
          <w:sz w:val="16"/>
          <w:szCs w:val="16"/>
        </w:rPr>
        <w:t xml:space="preserve"> The following states currently require two-party or all-party consent when telephone calls are monitored or audiotaped: California, Connecticut, </w:t>
      </w:r>
      <w:r w:rsidR="00A62FB6" w:rsidRPr="003264F7">
        <w:rPr>
          <w:sz w:val="16"/>
          <w:szCs w:val="16"/>
        </w:rPr>
        <w:t xml:space="preserve">Delaware, </w:t>
      </w:r>
      <w:r w:rsidRPr="003264F7">
        <w:rPr>
          <w:sz w:val="16"/>
          <w:szCs w:val="16"/>
        </w:rPr>
        <w:t xml:space="preserve">Florida, Illinois, Maryland, Massachusetts, </w:t>
      </w:r>
      <w:r w:rsidR="00A62FB6" w:rsidRPr="003264F7">
        <w:rPr>
          <w:sz w:val="16"/>
          <w:szCs w:val="16"/>
        </w:rPr>
        <w:t xml:space="preserve">Michigan, </w:t>
      </w:r>
      <w:r w:rsidRPr="003264F7">
        <w:rPr>
          <w:sz w:val="16"/>
          <w:szCs w:val="16"/>
        </w:rPr>
        <w:t xml:space="preserve">Montana, </w:t>
      </w:r>
      <w:r w:rsidR="005A0457">
        <w:rPr>
          <w:sz w:val="16"/>
          <w:szCs w:val="16"/>
        </w:rPr>
        <w:t xml:space="preserve">Nevada, </w:t>
      </w:r>
      <w:r w:rsidRPr="003264F7">
        <w:rPr>
          <w:sz w:val="16"/>
          <w:szCs w:val="16"/>
        </w:rPr>
        <w:t xml:space="preserve">New Hampshire, </w:t>
      </w:r>
      <w:r w:rsidR="005A0457">
        <w:rPr>
          <w:sz w:val="16"/>
          <w:szCs w:val="16"/>
        </w:rPr>
        <w:t xml:space="preserve">Oregon, </w:t>
      </w:r>
      <w:r w:rsidRPr="003264F7">
        <w:rPr>
          <w:sz w:val="16"/>
          <w:szCs w:val="16"/>
        </w:rPr>
        <w:t>Pennsylvania,</w:t>
      </w:r>
      <w:r w:rsidR="00A62FB6" w:rsidRPr="003264F7">
        <w:rPr>
          <w:sz w:val="16"/>
          <w:szCs w:val="16"/>
        </w:rPr>
        <w:t xml:space="preserve"> Vermont,</w:t>
      </w:r>
      <w:r w:rsidRPr="003264F7">
        <w:rPr>
          <w:sz w:val="16"/>
          <w:szCs w:val="16"/>
        </w:rPr>
        <w:t xml:space="preserve"> and Washington.</w:t>
      </w:r>
    </w:p>
  </w:footnote>
  <w:footnote w:id="11">
    <w:p w14:paraId="1EB8B4D4" w14:textId="77777777" w:rsidR="00A83F3F" w:rsidRPr="007A68CD" w:rsidRDefault="00A83F3F" w:rsidP="00EE74F9">
      <w:pPr>
        <w:pStyle w:val="FootnoteText"/>
        <w:rPr>
          <w:sz w:val="16"/>
          <w:szCs w:val="16"/>
          <w:lang w:val="en-US"/>
        </w:rPr>
      </w:pPr>
      <w:r w:rsidRPr="007A68CD">
        <w:rPr>
          <w:rStyle w:val="FootnoteReference"/>
          <w:rFonts w:ascii="Verdana" w:hAnsi="Verdana"/>
          <w:sz w:val="16"/>
          <w:szCs w:val="16"/>
        </w:rPr>
        <w:footnoteRef/>
      </w:r>
      <w:r w:rsidRPr="007A68CD">
        <w:rPr>
          <w:sz w:val="16"/>
          <w:szCs w:val="16"/>
        </w:rPr>
        <w:t xml:space="preserve"> Refers to the definition of a completed survey, which is discussed later in this chapter.</w:t>
      </w:r>
    </w:p>
  </w:footnote>
  <w:footnote w:id="12">
    <w:p w14:paraId="2EFDE5B5" w14:textId="77777777" w:rsidR="00A83F3F" w:rsidRPr="00EB3C5B" w:rsidRDefault="00A83F3F" w:rsidP="00EE74F9">
      <w:pPr>
        <w:pStyle w:val="FootnoteText"/>
        <w:rPr>
          <w:lang w:val="en-US"/>
        </w:rPr>
      </w:pPr>
      <w:r w:rsidRPr="007A68CD">
        <w:rPr>
          <w:rStyle w:val="FootnoteReference"/>
          <w:rFonts w:ascii="Verdana" w:hAnsi="Verdana"/>
          <w:sz w:val="16"/>
          <w:szCs w:val="16"/>
        </w:rPr>
        <w:footnoteRef/>
      </w:r>
      <w:r w:rsidRPr="007A68CD">
        <w:rPr>
          <w:sz w:val="16"/>
          <w:szCs w:val="16"/>
        </w:rPr>
        <w:t xml:space="preserve"> See </w:t>
      </w:r>
      <w:r w:rsidRPr="007A68CD">
        <w:rPr>
          <w:b/>
          <w:i/>
          <w:sz w:val="16"/>
          <w:szCs w:val="16"/>
        </w:rPr>
        <w:t>Chapter IV</w:t>
      </w:r>
      <w:r w:rsidRPr="007A68CD">
        <w:rPr>
          <w:sz w:val="16"/>
          <w:szCs w:val="16"/>
        </w:rPr>
        <w:t xml:space="preserve"> for eligibility rules for the HHCAHPS Survey.</w:t>
      </w:r>
    </w:p>
  </w:footnote>
  <w:footnote w:id="13">
    <w:p w14:paraId="34C595B1" w14:textId="458D012B" w:rsidR="00480B66" w:rsidRPr="00AF6BE4" w:rsidRDefault="00480B66">
      <w:pPr>
        <w:pStyle w:val="FootnoteText"/>
        <w:rPr>
          <w:sz w:val="16"/>
          <w:szCs w:val="16"/>
          <w:lang w:val="en-US"/>
        </w:rPr>
      </w:pPr>
      <w:r w:rsidRPr="00AF6BE4">
        <w:rPr>
          <w:rStyle w:val="FootnoteReference"/>
          <w:rFonts w:ascii="Verdana" w:hAnsi="Verdana"/>
          <w:sz w:val="16"/>
          <w:szCs w:val="16"/>
        </w:rPr>
        <w:footnoteRef/>
      </w:r>
      <w:r w:rsidRPr="00AF6BE4">
        <w:rPr>
          <w:sz w:val="16"/>
          <w:szCs w:val="16"/>
        </w:rPr>
        <w:t xml:space="preserve"> </w:t>
      </w:r>
      <w:r w:rsidRPr="00AF6BE4">
        <w:rPr>
          <w:sz w:val="16"/>
          <w:szCs w:val="16"/>
          <w:lang w:val="en-US"/>
        </w:rPr>
        <w:t>HHCAHPS Survey question numbers referenced are those in CMS’s updated survey instrument effective with the April 2026 sample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698E" w14:textId="77777777" w:rsidR="006E23DC" w:rsidRDefault="006E23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202F" w14:textId="261723B7" w:rsidR="00A83F3F" w:rsidRPr="001A4009" w:rsidRDefault="000141B9" w:rsidP="001A4009">
    <w:pPr>
      <w:pStyle w:val="Header"/>
      <w:pBdr>
        <w:bottom w:val="single" w:sz="8" w:space="1" w:color="1F497D"/>
      </w:pBdr>
      <w:rPr>
        <w:rFonts w:ascii="Verdana" w:hAnsi="Verdana"/>
        <w:sz w:val="18"/>
        <w:szCs w:val="18"/>
        <w:lang w:val="en-US"/>
      </w:rPr>
    </w:pPr>
    <w:r w:rsidRPr="001A4009">
      <w:rPr>
        <w:rFonts w:ascii="Verdana" w:hAnsi="Verdana"/>
        <w:sz w:val="18"/>
        <w:szCs w:val="18"/>
      </w:rPr>
      <w:t>1</w:t>
    </w:r>
    <w:r w:rsidR="00A83F3F" w:rsidRPr="001A4009">
      <w:rPr>
        <w:rFonts w:ascii="Verdana" w:hAnsi="Verdana"/>
        <w:sz w:val="18"/>
        <w:szCs w:val="18"/>
      </w:rPr>
      <w:t xml:space="preserve">. Overview of the </w:t>
    </w:r>
    <w:r w:rsidR="00A83F3F" w:rsidRPr="001A4009">
      <w:rPr>
        <w:rFonts w:ascii="Verdana" w:hAnsi="Verdana"/>
        <w:sz w:val="18"/>
        <w:szCs w:val="24"/>
      </w:rPr>
      <w:t xml:space="preserve">Contents </w:t>
    </w:r>
    <w:r w:rsidR="00A83F3F" w:rsidRPr="001A4009">
      <w:rPr>
        <w:rFonts w:ascii="Verdana" w:hAnsi="Verdana"/>
        <w:sz w:val="18"/>
        <w:szCs w:val="18"/>
      </w:rPr>
      <w:t>of the Protocol and Guidelines Manual</w:t>
    </w:r>
    <w:r w:rsidR="00A83F3F" w:rsidRPr="001A4009">
      <w:rPr>
        <w:rFonts w:ascii="Verdana" w:hAnsi="Verdana"/>
        <w:sz w:val="18"/>
        <w:szCs w:val="18"/>
      </w:rPr>
      <w:tab/>
    </w:r>
    <w:r w:rsidR="00C20933" w:rsidRPr="001A4009">
      <w:rPr>
        <w:rFonts w:ascii="Verdana" w:hAnsi="Verdana"/>
        <w:sz w:val="18"/>
        <w:szCs w:val="18"/>
      </w:rPr>
      <w:t>Version 18.0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0A77" w14:textId="2F1DF4D4" w:rsidR="00A83F3F" w:rsidRPr="001A4009" w:rsidRDefault="00C20933" w:rsidP="001A4009">
    <w:pPr>
      <w:pStyle w:val="Header"/>
      <w:pBdr>
        <w:bottom w:val="single" w:sz="8" w:space="1" w:color="1F497D"/>
      </w:pBdr>
      <w:rPr>
        <w:rFonts w:ascii="Verdana" w:hAnsi="Verdana"/>
        <w:sz w:val="18"/>
        <w:szCs w:val="18"/>
        <w:lang w:val="en-US"/>
      </w:rPr>
    </w:pPr>
    <w:r w:rsidRPr="001A4009">
      <w:rPr>
        <w:rFonts w:ascii="Verdana" w:hAnsi="Verdana"/>
        <w:sz w:val="18"/>
        <w:szCs w:val="18"/>
      </w:rPr>
      <w:t>Version 18.0</w:t>
    </w:r>
    <w:r w:rsidR="00A83F3F" w:rsidRPr="001A4009">
      <w:rPr>
        <w:rFonts w:ascii="Verdana" w:hAnsi="Verdana"/>
        <w:sz w:val="18"/>
        <w:szCs w:val="18"/>
      </w:rPr>
      <w:tab/>
    </w:r>
    <w:r w:rsidR="000141B9" w:rsidRPr="001A4009">
      <w:rPr>
        <w:rFonts w:ascii="Verdana" w:hAnsi="Verdana"/>
        <w:sz w:val="18"/>
        <w:szCs w:val="18"/>
      </w:rPr>
      <w:t>1</w:t>
    </w:r>
    <w:r w:rsidR="00A83F3F" w:rsidRPr="001A4009">
      <w:rPr>
        <w:rFonts w:ascii="Verdana" w:hAnsi="Verdana"/>
        <w:sz w:val="18"/>
        <w:szCs w:val="18"/>
        <w:lang w:val="en-US"/>
      </w:rPr>
      <w:t xml:space="preserve">. </w:t>
    </w:r>
    <w:r w:rsidR="00A83F3F" w:rsidRPr="001A4009">
      <w:rPr>
        <w:rFonts w:ascii="Verdana" w:hAnsi="Verdana"/>
        <w:sz w:val="18"/>
        <w:szCs w:val="18"/>
      </w:rPr>
      <w:t xml:space="preserve">Overview of the </w:t>
    </w:r>
    <w:r w:rsidR="00A83F3F" w:rsidRPr="001A4009">
      <w:rPr>
        <w:rFonts w:ascii="Verdana" w:hAnsi="Verdana"/>
        <w:sz w:val="18"/>
        <w:szCs w:val="24"/>
      </w:rPr>
      <w:t>Contents</w:t>
    </w:r>
    <w:r w:rsidR="00A83F3F" w:rsidRPr="001A4009">
      <w:rPr>
        <w:rFonts w:ascii="Verdana" w:hAnsi="Verdana"/>
        <w:sz w:val="18"/>
        <w:szCs w:val="24"/>
        <w:lang w:val="en-US"/>
      </w:rPr>
      <w:t xml:space="preserve"> </w:t>
    </w:r>
    <w:r w:rsidR="00A83F3F" w:rsidRPr="001A4009">
      <w:rPr>
        <w:rFonts w:ascii="Verdana" w:hAnsi="Verdana"/>
        <w:sz w:val="18"/>
        <w:szCs w:val="18"/>
      </w:rPr>
      <w:t>of the Protocol and Guidelines Manual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AE84" w14:textId="77777777" w:rsidR="00A83F3F" w:rsidRPr="00AC1B9F" w:rsidRDefault="00A83F3F" w:rsidP="00AC1B9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F396" w14:textId="5F1EF43F" w:rsidR="00A83F3F" w:rsidRPr="009606DE" w:rsidRDefault="000141B9" w:rsidP="008D418E">
    <w:pPr>
      <w:pStyle w:val="Header"/>
      <w:rPr>
        <w:lang w:val="en-US"/>
      </w:rPr>
    </w:pPr>
    <w:r>
      <w:t>2</w:t>
    </w:r>
    <w:r w:rsidR="00A83F3F" w:rsidRPr="00C27289">
      <w:t>. Introduction and Background</w:t>
    </w:r>
    <w:r w:rsidR="00A83F3F">
      <w:tab/>
    </w:r>
    <w:r w:rsidR="00C20933">
      <w:t>Version 18.0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4A4C" w14:textId="5EF29235" w:rsidR="00A83F3F" w:rsidRPr="009316AB" w:rsidRDefault="00C20933" w:rsidP="007D44EA">
    <w:pPr>
      <w:pStyle w:val="Header"/>
      <w:rPr>
        <w:rFonts w:ascii="Verdana" w:hAnsi="Verdana"/>
        <w:sz w:val="18"/>
        <w:szCs w:val="18"/>
      </w:rPr>
    </w:pPr>
    <w:r w:rsidRPr="009316AB">
      <w:rPr>
        <w:rFonts w:ascii="Verdana" w:hAnsi="Verdana"/>
        <w:sz w:val="18"/>
        <w:szCs w:val="18"/>
      </w:rPr>
      <w:t>Version 18.0</w:t>
    </w:r>
    <w:r w:rsidR="00A83F3F" w:rsidRPr="009316AB">
      <w:rPr>
        <w:rFonts w:ascii="Verdana" w:hAnsi="Verdana"/>
        <w:sz w:val="18"/>
        <w:szCs w:val="18"/>
      </w:rPr>
      <w:tab/>
    </w:r>
    <w:r w:rsidR="000141B9" w:rsidRPr="009316AB">
      <w:rPr>
        <w:rFonts w:ascii="Verdana" w:hAnsi="Verdana"/>
        <w:sz w:val="18"/>
        <w:szCs w:val="18"/>
      </w:rPr>
      <w:t>2</w:t>
    </w:r>
    <w:r w:rsidR="00A83F3F" w:rsidRPr="009316AB">
      <w:rPr>
        <w:rFonts w:ascii="Verdana" w:hAnsi="Verdana"/>
        <w:sz w:val="18"/>
        <w:szCs w:val="18"/>
      </w:rPr>
      <w:t>. Introduction and Background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48B1" w14:textId="77777777" w:rsidR="00A83F3F" w:rsidRPr="00AC1B9F" w:rsidRDefault="00A83F3F" w:rsidP="00AC1B9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37CC" w14:textId="67B6347A" w:rsidR="00A83F3F" w:rsidRPr="009606DE" w:rsidRDefault="000141B9" w:rsidP="005E3F84">
    <w:pPr>
      <w:pStyle w:val="Header"/>
      <w:rPr>
        <w:lang w:val="en-US"/>
      </w:rPr>
    </w:pPr>
    <w:r>
      <w:t>3</w:t>
    </w:r>
    <w:r w:rsidR="00A83F3F" w:rsidRPr="00C27289">
      <w:t>. Home Health Care CAHPS Survey Participation Requirements</w:t>
    </w:r>
    <w:r w:rsidR="00A83F3F">
      <w:tab/>
    </w:r>
    <w:r w:rsidR="00C20933">
      <w:t>Version 18.0</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F71F" w14:textId="3C2E58E4" w:rsidR="00A83F3F" w:rsidRPr="009316AB" w:rsidRDefault="00C20933" w:rsidP="007D44EA">
    <w:pPr>
      <w:pStyle w:val="Header"/>
      <w:rPr>
        <w:rFonts w:ascii="Verdana" w:hAnsi="Verdana"/>
        <w:sz w:val="18"/>
        <w:szCs w:val="18"/>
      </w:rPr>
    </w:pPr>
    <w:r w:rsidRPr="009316AB">
      <w:rPr>
        <w:rFonts w:ascii="Verdana" w:hAnsi="Verdana"/>
        <w:sz w:val="18"/>
        <w:szCs w:val="18"/>
      </w:rPr>
      <w:t>Version 18.0</w:t>
    </w:r>
    <w:r w:rsidR="00A83F3F" w:rsidRPr="009316AB">
      <w:rPr>
        <w:rFonts w:ascii="Verdana" w:hAnsi="Verdana"/>
        <w:sz w:val="18"/>
        <w:szCs w:val="18"/>
      </w:rPr>
      <w:tab/>
    </w:r>
    <w:r w:rsidR="000141B9" w:rsidRPr="009316AB">
      <w:rPr>
        <w:rFonts w:ascii="Verdana" w:hAnsi="Verdana"/>
        <w:sz w:val="18"/>
        <w:szCs w:val="18"/>
      </w:rPr>
      <w:t>3</w:t>
    </w:r>
    <w:r w:rsidR="00A83F3F" w:rsidRPr="009316AB">
      <w:rPr>
        <w:rFonts w:ascii="Verdana" w:hAnsi="Verdana"/>
        <w:sz w:val="18"/>
        <w:szCs w:val="18"/>
      </w:rPr>
      <w:t>. Home Health Care CAHPS Survey Participation Requirements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82A" w14:textId="77777777" w:rsidR="00A83F3F" w:rsidRPr="00AC1B9F" w:rsidRDefault="00A83F3F" w:rsidP="00AC1B9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1E01" w14:textId="596A5685" w:rsidR="00A83F3F" w:rsidRPr="00FD1413" w:rsidRDefault="000141B9" w:rsidP="007D44EA">
    <w:pPr>
      <w:pStyle w:val="Header"/>
      <w:rPr>
        <w:lang w:val="en-US"/>
      </w:rPr>
    </w:pPr>
    <w:r>
      <w:t>5</w:t>
    </w:r>
    <w:r w:rsidR="00A83F3F" w:rsidRPr="00C27289">
      <w:t>. Mail-Only Administration Procedures</w:t>
    </w:r>
    <w:r w:rsidR="00A83F3F">
      <w:tab/>
    </w:r>
    <w:r w:rsidR="00C20933">
      <w:t>Version 18.0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E420" w14:textId="77777777" w:rsidR="006E23DC" w:rsidRDefault="006E23D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6DDF" w14:textId="11BDB6FB" w:rsidR="00A83F3F" w:rsidRPr="009316AB" w:rsidRDefault="00C20933" w:rsidP="00FE1B43">
    <w:pPr>
      <w:pStyle w:val="Header"/>
      <w:rPr>
        <w:rFonts w:ascii="Verdana" w:hAnsi="Verdana"/>
        <w:sz w:val="18"/>
        <w:szCs w:val="18"/>
      </w:rPr>
    </w:pPr>
    <w:r w:rsidRPr="009316AB">
      <w:rPr>
        <w:rFonts w:ascii="Verdana" w:hAnsi="Verdana"/>
        <w:sz w:val="18"/>
        <w:szCs w:val="18"/>
      </w:rPr>
      <w:t>Version 18.0</w:t>
    </w:r>
    <w:r w:rsidR="00A83F3F" w:rsidRPr="009316AB">
      <w:rPr>
        <w:rFonts w:ascii="Verdana" w:hAnsi="Verdana"/>
        <w:sz w:val="18"/>
        <w:szCs w:val="18"/>
      </w:rPr>
      <w:tab/>
    </w:r>
    <w:r w:rsidR="00FE1B43">
      <w:rPr>
        <w:rFonts w:ascii="Verdana" w:hAnsi="Verdana"/>
        <w:sz w:val="18"/>
        <w:szCs w:val="18"/>
      </w:rPr>
      <w:t>4</w:t>
    </w:r>
    <w:r w:rsidR="00A83F3F" w:rsidRPr="009316AB">
      <w:rPr>
        <w:rFonts w:ascii="Verdana" w:hAnsi="Verdana"/>
        <w:sz w:val="18"/>
        <w:szCs w:val="18"/>
      </w:rPr>
      <w:t xml:space="preserve">. </w:t>
    </w:r>
    <w:r w:rsidR="00FE1B43" w:rsidRPr="00FE1B43">
      <w:rPr>
        <w:rFonts w:ascii="Verdana" w:hAnsi="Verdana"/>
        <w:sz w:val="18"/>
        <w:szCs w:val="18"/>
      </w:rPr>
      <w:t>Home Health Care CAHPS Survey</w:t>
    </w:r>
    <w:r w:rsidR="00182985">
      <w:rPr>
        <w:rFonts w:ascii="Verdana" w:hAnsi="Verdana"/>
        <w:sz w:val="18"/>
        <w:szCs w:val="18"/>
      </w:rPr>
      <w:t xml:space="preserve"> </w:t>
    </w:r>
    <w:r w:rsidR="00FE1B43" w:rsidRPr="00FE1B43">
      <w:rPr>
        <w:rFonts w:ascii="Verdana" w:hAnsi="Verdana"/>
        <w:sz w:val="18"/>
        <w:szCs w:val="18"/>
      </w:rPr>
      <w:t>Sampling Procedures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D130" w14:textId="77777777" w:rsidR="00A83F3F" w:rsidRPr="00AC1B9F" w:rsidRDefault="00A83F3F" w:rsidP="00AC1B9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EBFF" w14:textId="77777777" w:rsidR="001468FB" w:rsidRPr="009316AB" w:rsidRDefault="001468FB" w:rsidP="005458A1">
    <w:pPr>
      <w:pStyle w:val="Header"/>
      <w:rPr>
        <w:rFonts w:ascii="Verdana" w:hAnsi="Verdana"/>
        <w:sz w:val="18"/>
        <w:szCs w:val="18"/>
      </w:rPr>
    </w:pPr>
    <w:r w:rsidRPr="009316AB">
      <w:rPr>
        <w:rFonts w:ascii="Verdana" w:hAnsi="Verdana"/>
        <w:sz w:val="18"/>
        <w:szCs w:val="18"/>
      </w:rPr>
      <w:t>Version 18.0</w:t>
    </w:r>
    <w:r w:rsidRPr="009316AB">
      <w:rPr>
        <w:rFonts w:ascii="Verdana" w:hAnsi="Verdana"/>
        <w:sz w:val="18"/>
        <w:szCs w:val="18"/>
      </w:rPr>
      <w:tab/>
      <w:t>5. Mail-Only Administration Procedures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DC0" w14:textId="5AE9923C" w:rsidR="00A83F3F" w:rsidRPr="00FD1413" w:rsidRDefault="000141B9" w:rsidP="007D44EA">
    <w:pPr>
      <w:pStyle w:val="Header"/>
      <w:rPr>
        <w:lang w:val="en-US"/>
      </w:rPr>
    </w:pPr>
    <w:r>
      <w:t>6</w:t>
    </w:r>
    <w:r w:rsidR="00A83F3F" w:rsidRPr="00C27289">
      <w:t>. Telephone-Only Administration Procedures</w:t>
    </w:r>
    <w:r w:rsidR="00A83F3F">
      <w:tab/>
    </w:r>
    <w:r w:rsidR="00C20933">
      <w:t>Version 18.0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CD2F" w14:textId="3C2882F5" w:rsidR="00A83F3F" w:rsidRPr="00017DC0" w:rsidRDefault="00C20933" w:rsidP="007D44EA">
    <w:pPr>
      <w:pStyle w:val="Header"/>
      <w:rPr>
        <w:rFonts w:ascii="Verdana" w:hAnsi="Verdana"/>
        <w:sz w:val="18"/>
        <w:szCs w:val="18"/>
      </w:rPr>
    </w:pPr>
    <w:r w:rsidRPr="00017DC0">
      <w:rPr>
        <w:rFonts w:ascii="Verdana" w:hAnsi="Verdana"/>
        <w:sz w:val="18"/>
        <w:szCs w:val="18"/>
      </w:rPr>
      <w:t>Version 18.0</w:t>
    </w:r>
    <w:r w:rsidR="00A83F3F" w:rsidRPr="00017DC0">
      <w:rPr>
        <w:rFonts w:ascii="Verdana" w:hAnsi="Verdana"/>
        <w:sz w:val="18"/>
        <w:szCs w:val="18"/>
      </w:rPr>
      <w:tab/>
    </w:r>
    <w:r w:rsidR="000141B9" w:rsidRPr="00017DC0">
      <w:rPr>
        <w:rFonts w:ascii="Verdana" w:hAnsi="Verdana"/>
        <w:sz w:val="18"/>
        <w:szCs w:val="18"/>
      </w:rPr>
      <w:t>6</w:t>
    </w:r>
    <w:r w:rsidR="00A83F3F" w:rsidRPr="00017DC0">
      <w:rPr>
        <w:rFonts w:ascii="Verdana" w:hAnsi="Verdana"/>
        <w:sz w:val="18"/>
        <w:szCs w:val="18"/>
      </w:rPr>
      <w:t>. Telephone-Only Administration Procedures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9A26" w14:textId="77777777" w:rsidR="00A83F3F" w:rsidRPr="00AC1B9F" w:rsidRDefault="00A83F3F" w:rsidP="00AC1B9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6F14" w14:textId="3D240A1E" w:rsidR="00030F8F" w:rsidRPr="009316AB" w:rsidRDefault="001D5008" w:rsidP="004165C8">
    <w:pPr>
      <w:pStyle w:val="Header"/>
      <w:jc w:val="right"/>
      <w:rPr>
        <w:rFonts w:ascii="Verdana" w:hAnsi="Verdana"/>
        <w:sz w:val="18"/>
        <w:szCs w:val="18"/>
      </w:rPr>
    </w:pPr>
    <w:r w:rsidRPr="009316AB">
      <w:rPr>
        <w:rFonts w:ascii="Verdana" w:hAnsi="Verdana"/>
        <w:sz w:val="18"/>
        <w:szCs w:val="18"/>
      </w:rPr>
      <w:t>Version 18.0</w:t>
    </w:r>
    <w:r w:rsidRPr="009316AB">
      <w:rPr>
        <w:rFonts w:ascii="Verdana" w:hAnsi="Verdana"/>
        <w:sz w:val="18"/>
        <w:szCs w:val="18"/>
      </w:rPr>
      <w:tab/>
    </w:r>
    <w:r w:rsidR="004165C8">
      <w:rPr>
        <w:rFonts w:ascii="Verdana" w:hAnsi="Verdana"/>
        <w:sz w:val="18"/>
        <w:szCs w:val="18"/>
      </w:rPr>
      <w:t>7</w:t>
    </w:r>
    <w:r w:rsidRPr="009316AB">
      <w:rPr>
        <w:rFonts w:ascii="Verdana" w:hAnsi="Verdana"/>
        <w:sz w:val="18"/>
        <w:szCs w:val="18"/>
      </w:rPr>
      <w:t xml:space="preserve">. </w:t>
    </w:r>
    <w:r w:rsidR="004165C8" w:rsidRPr="004165C8">
      <w:rPr>
        <w:rFonts w:ascii="Verdana" w:hAnsi="Verdana"/>
        <w:sz w:val="18"/>
        <w:szCs w:val="18"/>
      </w:rPr>
      <w:t>Mail with Telephone Follow-Up (Mixed-Mode)</w:t>
    </w:r>
    <w:r w:rsidR="00603433">
      <w:rPr>
        <w:rFonts w:ascii="Verdana" w:hAnsi="Verdana"/>
        <w:sz w:val="18"/>
        <w:szCs w:val="18"/>
      </w:rPr>
      <w:br/>
    </w:r>
    <w:r w:rsidR="004165C8" w:rsidRPr="004165C8">
      <w:rPr>
        <w:rFonts w:ascii="Verdana" w:hAnsi="Verdana"/>
        <w:sz w:val="18"/>
        <w:szCs w:val="18"/>
      </w:rPr>
      <w:t>Survey Administration Procedures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411B" w14:textId="77777777" w:rsidR="008E6873" w:rsidRPr="00AC1B9F" w:rsidRDefault="008E6873" w:rsidP="00AC1B9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AD45" w14:textId="02556C0B" w:rsidR="004165C8" w:rsidRPr="009316AB" w:rsidRDefault="004165C8" w:rsidP="001D5008">
    <w:pPr>
      <w:pStyle w:val="Header"/>
      <w:rPr>
        <w:rFonts w:ascii="Verdana" w:hAnsi="Verdana"/>
        <w:sz w:val="18"/>
        <w:szCs w:val="18"/>
      </w:rPr>
    </w:pPr>
    <w:r w:rsidRPr="009316AB">
      <w:rPr>
        <w:rFonts w:ascii="Verdana" w:hAnsi="Verdana"/>
        <w:sz w:val="18"/>
        <w:szCs w:val="18"/>
      </w:rPr>
      <w:t>Version 18.0</w:t>
    </w:r>
    <w:r w:rsidRPr="009316AB">
      <w:rPr>
        <w:rFonts w:ascii="Verdana" w:hAnsi="Verdana"/>
        <w:sz w:val="18"/>
        <w:szCs w:val="18"/>
      </w:rPr>
      <w:tab/>
    </w:r>
    <w:r>
      <w:rPr>
        <w:rFonts w:ascii="Verdana" w:hAnsi="Verdana"/>
        <w:sz w:val="18"/>
        <w:szCs w:val="18"/>
      </w:rPr>
      <w:t>8</w:t>
    </w:r>
    <w:r w:rsidRPr="009316AB">
      <w:rPr>
        <w:rFonts w:ascii="Verdana" w:hAnsi="Verdana"/>
        <w:sz w:val="18"/>
        <w:szCs w:val="18"/>
      </w:rPr>
      <w:t xml:space="preserve">. </w:t>
    </w:r>
    <w:r w:rsidRPr="004165C8">
      <w:rPr>
        <w:rFonts w:ascii="Verdana" w:hAnsi="Verdana"/>
        <w:sz w:val="18"/>
        <w:szCs w:val="18"/>
      </w:rPr>
      <w:t>Confidentiality and Data Security</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FBC6" w14:textId="77777777" w:rsidR="0094012F" w:rsidRPr="00AC1B9F" w:rsidRDefault="0094012F" w:rsidP="00AC1B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236C" w14:textId="77777777" w:rsidR="00A83F3F" w:rsidRDefault="00A83F3F" w:rsidP="00DB656F">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6FDB" w14:textId="77777777" w:rsidR="004165C8" w:rsidRPr="009316AB" w:rsidRDefault="004165C8" w:rsidP="001D5008">
    <w:pPr>
      <w:pStyle w:val="Header"/>
      <w:rPr>
        <w:rFonts w:ascii="Verdana" w:hAnsi="Verdana"/>
        <w:sz w:val="18"/>
        <w:szCs w:val="18"/>
      </w:rPr>
    </w:pPr>
    <w:r w:rsidRPr="009316AB">
      <w:rPr>
        <w:rFonts w:ascii="Verdana" w:hAnsi="Verdana"/>
        <w:sz w:val="18"/>
        <w:szCs w:val="18"/>
      </w:rPr>
      <w:t>Version 18.0</w:t>
    </w:r>
    <w:r w:rsidRPr="009316AB">
      <w:rPr>
        <w:rFonts w:ascii="Verdana" w:hAnsi="Verdana"/>
        <w:sz w:val="18"/>
        <w:szCs w:val="18"/>
      </w:rPr>
      <w:tab/>
      <w:t>9. Data Processing and Coding</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C191" w14:textId="77777777" w:rsidR="0094012F" w:rsidRPr="00AC1B9F" w:rsidRDefault="0094012F" w:rsidP="00AC1B9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D63A" w14:textId="678E0BB7" w:rsidR="00A83F3F" w:rsidRPr="001654C4" w:rsidRDefault="000141B9" w:rsidP="00355892">
    <w:pPr>
      <w:pStyle w:val="Header"/>
      <w:rPr>
        <w:lang w:val="en-US"/>
      </w:rPr>
    </w:pPr>
    <w:r>
      <w:t>9</w:t>
    </w:r>
    <w:r w:rsidR="00A83F3F">
      <w:t xml:space="preserve">. </w:t>
    </w:r>
    <w:r w:rsidR="00A83F3F" w:rsidRPr="00193C4D">
      <w:t xml:space="preserve">Data Processing </w:t>
    </w:r>
    <w:r w:rsidR="00A83F3F">
      <w:t>a</w:t>
    </w:r>
    <w:r w:rsidR="00A83F3F" w:rsidRPr="00193C4D">
      <w:t>nd Coding</w:t>
    </w:r>
    <w:r w:rsidR="00A83F3F">
      <w:tab/>
    </w:r>
    <w:r w:rsidR="00C20933">
      <w:t>Version 18.0</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C328" w14:textId="18447BF4" w:rsidR="00A83F3F" w:rsidRPr="009316AB" w:rsidRDefault="00C20933" w:rsidP="00355892">
    <w:pPr>
      <w:pStyle w:val="Header"/>
      <w:rPr>
        <w:rFonts w:ascii="Verdana" w:hAnsi="Verdana"/>
        <w:sz w:val="18"/>
        <w:szCs w:val="18"/>
        <w:lang w:val="en-US"/>
      </w:rPr>
    </w:pPr>
    <w:r w:rsidRPr="009316AB">
      <w:rPr>
        <w:rFonts w:ascii="Verdana" w:hAnsi="Verdana"/>
        <w:sz w:val="18"/>
        <w:szCs w:val="18"/>
      </w:rPr>
      <w:t>Version 18.0</w:t>
    </w:r>
    <w:r w:rsidR="00A83F3F" w:rsidRPr="009316AB">
      <w:rPr>
        <w:rFonts w:ascii="Verdana" w:hAnsi="Verdana"/>
        <w:sz w:val="18"/>
        <w:szCs w:val="18"/>
      </w:rPr>
      <w:tab/>
    </w:r>
    <w:r w:rsidR="000141B9" w:rsidRPr="009316AB">
      <w:rPr>
        <w:rFonts w:ascii="Verdana" w:hAnsi="Verdana"/>
        <w:sz w:val="18"/>
        <w:szCs w:val="18"/>
      </w:rPr>
      <w:t>9</w:t>
    </w:r>
    <w:r w:rsidR="00A83F3F" w:rsidRPr="009316AB">
      <w:rPr>
        <w:rFonts w:ascii="Verdana" w:hAnsi="Verdana"/>
        <w:sz w:val="18"/>
        <w:szCs w:val="18"/>
      </w:rPr>
      <w:t>. Data Processing and Coding</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23A5" w14:textId="77777777" w:rsidR="00A83F3F" w:rsidRDefault="00A83F3F"/>
  <w:p w14:paraId="6FD76441" w14:textId="77777777" w:rsidR="00A83F3F" w:rsidRDefault="00A83F3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B908" w14:textId="5AD1F406" w:rsidR="00A83F3F" w:rsidRPr="00572A0C" w:rsidRDefault="000141B9" w:rsidP="00EF03E3">
    <w:pPr>
      <w:pStyle w:val="Header"/>
      <w:tabs>
        <w:tab w:val="left" w:pos="4548"/>
      </w:tabs>
      <w:rPr>
        <w:lang w:val="en-US"/>
      </w:rPr>
    </w:pPr>
    <w:r>
      <w:t>10</w:t>
    </w:r>
    <w:r w:rsidR="00A83F3F">
      <w:t xml:space="preserve">. </w:t>
    </w:r>
    <w:r w:rsidR="00A83F3F">
      <w:rPr>
        <w:lang w:val="en-US"/>
      </w:rPr>
      <w:t>Website and File Submissions</w:t>
    </w:r>
    <w:r w:rsidR="00A83F3F">
      <w:rPr>
        <w:lang w:val="en-US"/>
      </w:rPr>
      <w:tab/>
    </w:r>
    <w:r w:rsidR="00A83F3F">
      <w:tab/>
    </w:r>
    <w:r w:rsidR="00C20933">
      <w:t>Version 18.0</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3FC6" w14:textId="514F634D" w:rsidR="00A83F3F" w:rsidRPr="00017DC0" w:rsidRDefault="00C20933" w:rsidP="007D44EA">
    <w:pPr>
      <w:pStyle w:val="Header"/>
      <w:rPr>
        <w:rFonts w:ascii="Verdana" w:hAnsi="Verdana"/>
        <w:sz w:val="18"/>
        <w:szCs w:val="18"/>
      </w:rPr>
    </w:pPr>
    <w:r w:rsidRPr="00017DC0">
      <w:rPr>
        <w:rFonts w:ascii="Verdana" w:hAnsi="Verdana"/>
        <w:sz w:val="18"/>
        <w:szCs w:val="18"/>
      </w:rPr>
      <w:t>Version 18.0</w:t>
    </w:r>
    <w:r w:rsidR="00A83F3F" w:rsidRPr="00017DC0">
      <w:rPr>
        <w:rFonts w:ascii="Verdana" w:hAnsi="Verdana"/>
        <w:sz w:val="18"/>
        <w:szCs w:val="18"/>
      </w:rPr>
      <w:tab/>
    </w:r>
    <w:r w:rsidR="000141B9" w:rsidRPr="00017DC0">
      <w:rPr>
        <w:rFonts w:ascii="Verdana" w:hAnsi="Verdana"/>
        <w:sz w:val="18"/>
        <w:szCs w:val="18"/>
      </w:rPr>
      <w:t>10</w:t>
    </w:r>
    <w:r w:rsidR="00A83F3F" w:rsidRPr="00017DC0">
      <w:rPr>
        <w:rFonts w:ascii="Verdana" w:hAnsi="Verdana"/>
        <w:sz w:val="18"/>
        <w:szCs w:val="18"/>
      </w:rPr>
      <w:t xml:space="preserve">. </w:t>
    </w:r>
    <w:r w:rsidR="00A83F3F" w:rsidRPr="00017DC0">
      <w:rPr>
        <w:rFonts w:ascii="Verdana" w:hAnsi="Verdana"/>
        <w:sz w:val="18"/>
        <w:szCs w:val="18"/>
        <w:lang w:val="en-US"/>
      </w:rPr>
      <w:t>Website and File Submissions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BA03" w14:textId="77777777" w:rsidR="00A83F3F" w:rsidRPr="00AC1B9F" w:rsidRDefault="00A83F3F" w:rsidP="00AC1B9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FED7" w14:textId="2CA43115" w:rsidR="00A83F3F" w:rsidRPr="004774C5" w:rsidRDefault="000141B9" w:rsidP="004774C5">
    <w:pPr>
      <w:pStyle w:val="Header"/>
      <w:pBdr>
        <w:bottom w:val="none" w:sz="0" w:space="0" w:color="auto"/>
      </w:pBdr>
    </w:pPr>
    <w:r>
      <w:t>14</w:t>
    </w:r>
    <w:r w:rsidR="0073283F" w:rsidRPr="0065044F">
      <w:t>. Exceptions Request Process and Discrepancy Notification Report</w:t>
    </w:r>
    <w:r w:rsidR="0073283F" w:rsidRPr="0073283F">
      <w:t xml:space="preserve"> </w:t>
    </w:r>
    <w:r w:rsidR="0073283F">
      <w:tab/>
    </w:r>
    <w:r w:rsidR="00C20933">
      <w:t>Version 18.0</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99B7" w14:textId="6742F91F" w:rsidR="00A83F3F" w:rsidRPr="000342FA" w:rsidRDefault="00C20933" w:rsidP="005C5DA1">
    <w:pPr>
      <w:pStyle w:val="Header"/>
      <w:pBdr>
        <w:bottom w:val="single" w:sz="4" w:space="3" w:color="auto"/>
      </w:pBdr>
      <w:tabs>
        <w:tab w:val="right" w:pos="9288"/>
      </w:tabs>
      <w:rPr>
        <w:rFonts w:ascii="Verdana" w:hAnsi="Verdana"/>
        <w:sz w:val="18"/>
        <w:szCs w:val="18"/>
      </w:rPr>
    </w:pPr>
    <w:r w:rsidRPr="000342FA">
      <w:rPr>
        <w:rFonts w:ascii="Verdana" w:hAnsi="Verdana"/>
        <w:sz w:val="18"/>
        <w:szCs w:val="18"/>
      </w:rPr>
      <w:t>Version 18.0</w:t>
    </w:r>
    <w:r w:rsidR="00A83F3F" w:rsidRPr="000342FA">
      <w:rPr>
        <w:rFonts w:ascii="Verdana" w:hAnsi="Verdana"/>
        <w:sz w:val="18"/>
        <w:szCs w:val="18"/>
      </w:rPr>
      <w:tab/>
    </w:r>
    <w:r w:rsidR="00BB6A45" w:rsidRPr="000342FA">
      <w:rPr>
        <w:rFonts w:ascii="Verdana" w:hAnsi="Verdana"/>
        <w:sz w:val="18"/>
        <w:szCs w:val="18"/>
      </w:rPr>
      <w:t>11. Home Health Care CAHPS Survey Web</w:t>
    </w:r>
    <w:r w:rsidR="00BB6A45" w:rsidRPr="000342FA">
      <w:rPr>
        <w:rFonts w:ascii="Verdana" w:hAnsi="Verdana"/>
        <w:sz w:val="18"/>
        <w:szCs w:val="18"/>
        <w:lang w:val="en-US"/>
      </w:rPr>
      <w:t>s</w:t>
    </w:r>
    <w:proofErr w:type="spellStart"/>
    <w:r w:rsidR="00BB6A45">
      <w:rPr>
        <w:rFonts w:ascii="Verdana" w:hAnsi="Verdana"/>
        <w:sz w:val="18"/>
        <w:szCs w:val="18"/>
      </w:rPr>
      <w:t>ite</w:t>
    </w:r>
    <w:proofErr w:type="spellEnd"/>
    <w:r w:rsidR="00BB6A45" w:rsidRPr="000342FA">
      <w:rPr>
        <w:rFonts w:ascii="Verdana" w:hAnsi="Verdana"/>
        <w:sz w:val="18"/>
        <w:szCs w:val="18"/>
      </w:rPr>
      <w:t xml:space="preserve"> Reports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0AF9" w14:textId="77777777" w:rsidR="00A83F3F" w:rsidRPr="00AC1B9F" w:rsidRDefault="00A83F3F" w:rsidP="00AC1B9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C208" w14:textId="04544FFC" w:rsidR="00506ED3" w:rsidRPr="000342FA" w:rsidRDefault="00506ED3" w:rsidP="000342FA">
    <w:pPr>
      <w:pStyle w:val="Header"/>
      <w:pBdr>
        <w:bottom w:val="single" w:sz="4" w:space="1" w:color="auto"/>
      </w:pBdr>
      <w:rPr>
        <w:rFonts w:ascii="Verdana" w:hAnsi="Verdana"/>
        <w:sz w:val="18"/>
        <w:szCs w:val="18"/>
      </w:rPr>
    </w:pPr>
    <w:r w:rsidRPr="000342FA">
      <w:rPr>
        <w:rFonts w:ascii="Verdana" w:hAnsi="Verdana"/>
        <w:sz w:val="18"/>
        <w:szCs w:val="18"/>
      </w:rPr>
      <w:t>Version 18.0</w:t>
    </w:r>
    <w:r w:rsidRPr="000342FA">
      <w:rPr>
        <w:rFonts w:ascii="Verdana" w:hAnsi="Verdana"/>
        <w:sz w:val="18"/>
        <w:szCs w:val="18"/>
      </w:rPr>
      <w:tab/>
    </w:r>
    <w:r w:rsidR="00467D0F" w:rsidRPr="000342FA">
      <w:rPr>
        <w:rFonts w:ascii="Verdana" w:hAnsi="Verdana"/>
        <w:sz w:val="18"/>
        <w:szCs w:val="18"/>
      </w:rPr>
      <w:t>1</w:t>
    </w:r>
    <w:r w:rsidR="00467D0F">
      <w:rPr>
        <w:rFonts w:ascii="Verdana" w:hAnsi="Verdana"/>
        <w:sz w:val="18"/>
        <w:szCs w:val="18"/>
      </w:rPr>
      <w:t>2</w:t>
    </w:r>
    <w:r w:rsidR="00467D0F" w:rsidRPr="000342FA">
      <w:rPr>
        <w:rFonts w:ascii="Verdana" w:hAnsi="Verdana"/>
        <w:sz w:val="18"/>
        <w:szCs w:val="18"/>
      </w:rPr>
      <w:t xml:space="preserve">. </w:t>
    </w:r>
    <w:r w:rsidR="00467D0F">
      <w:rPr>
        <w:rFonts w:ascii="Verdana" w:hAnsi="Verdana"/>
        <w:sz w:val="18"/>
        <w:szCs w:val="18"/>
      </w:rPr>
      <w:t>Oversight Activities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7208" w14:textId="77777777" w:rsidR="00467D0F" w:rsidRPr="000342FA" w:rsidRDefault="00467D0F" w:rsidP="000342FA">
    <w:pPr>
      <w:pStyle w:val="Header"/>
      <w:pBdr>
        <w:bottom w:val="single" w:sz="4" w:space="1" w:color="auto"/>
      </w:pBdr>
      <w:rPr>
        <w:rFonts w:ascii="Verdana" w:hAnsi="Verdana"/>
        <w:sz w:val="18"/>
        <w:szCs w:val="18"/>
      </w:rPr>
    </w:pPr>
    <w:r w:rsidRPr="000342FA">
      <w:rPr>
        <w:rFonts w:ascii="Verdana" w:hAnsi="Verdana"/>
        <w:sz w:val="18"/>
        <w:szCs w:val="18"/>
      </w:rPr>
      <w:t>Version 18.0</w:t>
    </w:r>
    <w:r w:rsidRPr="000342FA">
      <w:rPr>
        <w:rFonts w:ascii="Verdana" w:hAnsi="Verdana"/>
        <w:sz w:val="18"/>
        <w:szCs w:val="18"/>
      </w:rPr>
      <w:tab/>
      <w:t>13. Public Reporting</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B1EA" w14:textId="77777777" w:rsidR="00C03165" w:rsidRPr="000342FA" w:rsidRDefault="00C03165" w:rsidP="000342FA">
    <w:pPr>
      <w:pStyle w:val="Header"/>
      <w:pBdr>
        <w:bottom w:val="single" w:sz="4" w:space="1" w:color="auto"/>
      </w:pBdr>
      <w:rPr>
        <w:rFonts w:ascii="Verdana" w:hAnsi="Verdana"/>
        <w:sz w:val="18"/>
        <w:szCs w:val="18"/>
      </w:rPr>
    </w:pPr>
    <w:r w:rsidRPr="000342FA">
      <w:rPr>
        <w:rFonts w:ascii="Verdana" w:hAnsi="Verdana"/>
        <w:sz w:val="18"/>
        <w:szCs w:val="18"/>
      </w:rPr>
      <w:t>Version 18.0</w:t>
    </w:r>
    <w:r w:rsidRPr="000342FA">
      <w:rPr>
        <w:rFonts w:ascii="Verdana" w:hAnsi="Verdana"/>
        <w:sz w:val="18"/>
        <w:szCs w:val="18"/>
      </w:rPr>
      <w:tab/>
      <w:t>1</w:t>
    </w:r>
    <w:r>
      <w:rPr>
        <w:rFonts w:ascii="Verdana" w:hAnsi="Verdana"/>
        <w:sz w:val="18"/>
        <w:szCs w:val="18"/>
      </w:rPr>
      <w:t>4</w:t>
    </w:r>
    <w:r w:rsidRPr="000342FA">
      <w:rPr>
        <w:rFonts w:ascii="Verdana" w:hAnsi="Verdana"/>
        <w:sz w:val="18"/>
        <w:szCs w:val="18"/>
      </w:rPr>
      <w:t xml:space="preserve">. </w:t>
    </w:r>
    <w:r>
      <w:rPr>
        <w:rFonts w:ascii="Verdana" w:hAnsi="Verdana"/>
        <w:sz w:val="18"/>
        <w:szCs w:val="18"/>
      </w:rPr>
      <w:t>Exceptions Request Process and Discrepancy Notification Report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79F6" w14:textId="51DD3FB5" w:rsidR="00990A0F" w:rsidRPr="00364A00" w:rsidRDefault="00990A0F" w:rsidP="00990A0F">
    <w:pPr>
      <w:pStyle w:val="Header"/>
      <w:rPr>
        <w:lang w:val="en-US"/>
      </w:rPr>
    </w:pPr>
    <w:r>
      <w:t xml:space="preserve">Appendix </w:t>
    </w:r>
    <w:r w:rsidR="00E10A13">
      <w:t>A</w:t>
    </w:r>
    <w:r w:rsidRPr="00C96D1C">
      <w:t xml:space="preserve">: </w:t>
    </w:r>
    <w:r w:rsidR="00E10A13" w:rsidRPr="00E10A13">
      <w:rPr>
        <w:lang w:val="en-US"/>
      </w:rPr>
      <w:t>Links for HHCAHPS Resources and Supplemental Materials</w:t>
    </w:r>
    <w:r>
      <w:tab/>
    </w:r>
    <w:r w:rsidR="00E10A13">
      <w:t>Version 18.0</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C0CE" w14:textId="69F8FFD6" w:rsidR="00A83F3F" w:rsidRPr="009316AB" w:rsidRDefault="00E10A13" w:rsidP="005C5DA1">
    <w:pPr>
      <w:pStyle w:val="Header"/>
      <w:pBdr>
        <w:bottom w:val="single" w:sz="4" w:space="3" w:color="auto"/>
      </w:pBdr>
      <w:tabs>
        <w:tab w:val="right" w:pos="9288"/>
      </w:tabs>
      <w:rPr>
        <w:rFonts w:ascii="Verdana" w:hAnsi="Verdana"/>
        <w:sz w:val="18"/>
        <w:szCs w:val="18"/>
      </w:rPr>
    </w:pPr>
    <w:r w:rsidRPr="009316AB">
      <w:rPr>
        <w:rFonts w:ascii="Verdana" w:hAnsi="Verdana"/>
        <w:sz w:val="18"/>
        <w:szCs w:val="18"/>
      </w:rPr>
      <w:t>Version 18.0</w:t>
    </w:r>
    <w:r w:rsidR="00A83F3F" w:rsidRPr="009316AB">
      <w:rPr>
        <w:rFonts w:ascii="Verdana" w:hAnsi="Verdana"/>
        <w:sz w:val="18"/>
        <w:szCs w:val="18"/>
      </w:rPr>
      <w:tab/>
      <w:t xml:space="preserve">Appendix </w:t>
    </w:r>
    <w:r w:rsidRPr="009316AB">
      <w:rPr>
        <w:rFonts w:ascii="Verdana" w:hAnsi="Verdana"/>
        <w:sz w:val="18"/>
        <w:szCs w:val="18"/>
      </w:rPr>
      <w:t>A</w:t>
    </w:r>
    <w:r w:rsidR="00A83F3F" w:rsidRPr="009316AB">
      <w:rPr>
        <w:rFonts w:ascii="Verdana" w:hAnsi="Verdana"/>
        <w:sz w:val="18"/>
        <w:szCs w:val="18"/>
      </w:rPr>
      <w:t xml:space="preserve">: </w:t>
    </w:r>
    <w:r w:rsidRPr="009316AB">
      <w:rPr>
        <w:rFonts w:ascii="Verdana" w:hAnsi="Verdana"/>
        <w:sz w:val="18"/>
        <w:szCs w:val="18"/>
        <w:lang w:val="en-US"/>
      </w:rPr>
      <w:t>Links for HHCAHPS Resources and Supplemental Materials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CC21" w14:textId="56E81820" w:rsidR="00364A00" w:rsidRPr="00990A0F" w:rsidRDefault="00364A00" w:rsidP="00990A0F">
    <w:pPr>
      <w:pStyle w:val="Body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7F7D" w14:textId="77777777" w:rsidR="00A83F3F" w:rsidRDefault="00A83F3F" w:rsidP="00AE0647"/>
  <w:p w14:paraId="4116DADE" w14:textId="77777777" w:rsidR="00A83F3F" w:rsidRPr="00AE0647" w:rsidRDefault="00A83F3F" w:rsidP="00DE21FB">
    <w:pPr>
      <w:spacing w:after="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FE44" w14:textId="77777777" w:rsidR="00A83F3F" w:rsidRPr="00AC1B9F" w:rsidRDefault="00A83F3F" w:rsidP="00AC1B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1AC2" w14:textId="77777777" w:rsidR="00A83F3F" w:rsidRDefault="00A83F3F" w:rsidP="00D45BF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DB25" w14:textId="77777777" w:rsidR="00A83F3F" w:rsidRDefault="00A83F3F" w:rsidP="00AE064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9E37" w14:textId="77777777" w:rsidR="00A83F3F" w:rsidRPr="00AC1B9F" w:rsidRDefault="00A83F3F" w:rsidP="00AC1B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0655A5B"/>
    <w:multiLevelType w:val="multilevel"/>
    <w:tmpl w:val="20BAC90C"/>
    <w:styleLink w:val="VietNumbers"/>
    <w:lvl w:ilvl="0">
      <w:start w:val="1"/>
      <w:numFmt w:val="decimal"/>
      <w:pStyle w:val="QuestionVietnamese"/>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iet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13F7DC9"/>
    <w:multiLevelType w:val="hybridMultilevel"/>
    <w:tmpl w:val="EA80F472"/>
    <w:lvl w:ilvl="0" w:tplc="26BEBD4E">
      <w:start w:val="1"/>
      <w:numFmt w:val="decimal"/>
      <w:lvlText w:val="%1"/>
      <w:lvlJc w:val="left"/>
      <w:pPr>
        <w:ind w:left="1800" w:hanging="360"/>
      </w:pPr>
      <w:rPr>
        <w:rFonts w:hint="default"/>
        <w:vertAlign w:val="baseline"/>
      </w:rPr>
    </w:lvl>
    <w:lvl w:ilvl="1" w:tplc="BB7E781E">
      <w:start w:val="1"/>
      <w:numFmt w:val="lowerLetter"/>
      <w:pStyle w:val="VietResponseLast"/>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15:restartNumberingAfterBreak="0">
    <w:nsid w:val="0A54789E"/>
    <w:multiLevelType w:val="hybridMultilevel"/>
    <w:tmpl w:val="5426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6277A"/>
    <w:multiLevelType w:val="hybridMultilevel"/>
    <w:tmpl w:val="0FC8E688"/>
    <w:lvl w:ilvl="0" w:tplc="5E1AA036">
      <w:start w:val="1"/>
      <w:numFmt w:val="decimal"/>
      <w:pStyle w:val="ListNumber"/>
      <w:lvlText w:val="%1."/>
      <w:lvlJc w:val="left"/>
      <w:pPr>
        <w:ind w:left="720" w:hanging="360"/>
      </w:pPr>
      <w:rPr>
        <w:rFonts w:hint="default"/>
      </w:rPr>
    </w:lvl>
    <w:lvl w:ilvl="1" w:tplc="023AC2F6">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6" w15:restartNumberingAfterBreak="0">
    <w:nsid w:val="0B737380"/>
    <w:multiLevelType w:val="hybridMultilevel"/>
    <w:tmpl w:val="98545748"/>
    <w:lvl w:ilvl="0" w:tplc="9B20C63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82294"/>
    <w:multiLevelType w:val="hybridMultilevel"/>
    <w:tmpl w:val="B50C18F2"/>
    <w:lvl w:ilvl="0" w:tplc="587E556A">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EFF4ED56"/>
    <w:lvl w:ilvl="0" w:tplc="AF888280">
      <w:start w:val="1"/>
      <w:numFmt w:val="decimal"/>
      <w:pStyle w:val="List2"/>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3414F7C"/>
    <w:multiLevelType w:val="hybridMultilevel"/>
    <w:tmpl w:val="E0DE4F10"/>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E72FA9"/>
    <w:multiLevelType w:val="hybridMultilevel"/>
    <w:tmpl w:val="5A98125C"/>
    <w:lvl w:ilvl="0" w:tplc="1EA625A4">
      <w:start w:val="1"/>
      <w:numFmt w:val="bullet"/>
      <w:pStyle w:val="ListBullet"/>
      <w:lvlText w:val="•"/>
      <w:lvlJc w:val="left"/>
      <w:pPr>
        <w:ind w:left="360" w:hanging="360"/>
      </w:pPr>
      <w:rPr>
        <w:rFonts w:ascii="Verdana" w:hAnsi="Verdana" w:hint="default"/>
        <w:b w:val="0"/>
        <w:i w:val="0"/>
        <w:sz w:val="20"/>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3">
      <w:start w:val="1"/>
      <w:numFmt w:val="bullet"/>
      <w:lvlText w:val="o"/>
      <w:lvlJc w:val="left"/>
      <w:pPr>
        <w:ind w:left="2160" w:hanging="360"/>
      </w:pPr>
      <w:rPr>
        <w:rFonts w:ascii="Courier New" w:hAnsi="Courier New" w:cs="Courier New" w:hint="default"/>
      </w:rPr>
    </w:lvl>
    <w:lvl w:ilvl="3" w:tplc="D1D2DBBE">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46C0D"/>
    <w:multiLevelType w:val="hybridMultilevel"/>
    <w:tmpl w:val="C08A1A2C"/>
    <w:lvl w:ilvl="0" w:tplc="5D840FF8">
      <w:start w:val="1"/>
      <w:numFmt w:val="decimal"/>
      <w:pStyle w:val="ListAppJ"/>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0E5F97"/>
    <w:multiLevelType w:val="multilevel"/>
    <w:tmpl w:val="18A27460"/>
    <w:lvl w:ilvl="0">
      <w:start w:val="1"/>
      <w:numFmt w:val="decimal"/>
      <w:pStyle w:val="ListNumber2"/>
      <w:lvlText w:val="%1."/>
      <w:lvlJc w:val="left"/>
      <w:pPr>
        <w:tabs>
          <w:tab w:val="num" w:pos="1440"/>
        </w:tabs>
        <w:ind w:left="1440" w:hanging="144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D9D55FF"/>
    <w:multiLevelType w:val="hybridMultilevel"/>
    <w:tmpl w:val="C7CEB6B4"/>
    <w:lvl w:ilvl="0" w:tplc="AADE7502">
      <w:start w:val="1"/>
      <w:numFmt w:val="bullet"/>
      <w:lvlText w:val="►"/>
      <w:lvlJc w:val="left"/>
      <w:pPr>
        <w:ind w:left="720" w:hanging="360"/>
      </w:pPr>
      <w:rPr>
        <w:rFonts w:ascii="Arial" w:hAnsi="Aria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C127D9"/>
    <w:multiLevelType w:val="hybridMultilevel"/>
    <w:tmpl w:val="39000DCA"/>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8033EC"/>
    <w:multiLevelType w:val="hybridMultilevel"/>
    <w:tmpl w:val="24A4FD12"/>
    <w:lvl w:ilvl="0" w:tplc="3E629B10">
      <w:start w:val="1"/>
      <w:numFmt w:val="decimal"/>
      <w:pStyle w:val="ah24"/>
      <w:lvlText w:val="Q%1."/>
      <w:lvlJc w:val="left"/>
      <w:pPr>
        <w:ind w:left="72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42914"/>
    <w:multiLevelType w:val="hybridMultilevel"/>
    <w:tmpl w:val="05A84C78"/>
    <w:lvl w:ilvl="0" w:tplc="9B20C63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D3631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2415600D"/>
    <w:multiLevelType w:val="multilevel"/>
    <w:tmpl w:val="599C48F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25CE1C54"/>
    <w:multiLevelType w:val="hybridMultilevel"/>
    <w:tmpl w:val="FC18BF96"/>
    <w:lvl w:ilvl="0" w:tplc="6512D482">
      <w:start w:val="1"/>
      <w:numFmt w:val="decimal"/>
      <w:pStyle w:val="ac26"/>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BC1017"/>
    <w:multiLevelType w:val="hybridMultilevel"/>
    <w:tmpl w:val="F944337C"/>
    <w:lvl w:ilvl="0" w:tplc="84E4B4EE">
      <w:start w:val="1"/>
      <w:numFmt w:val="decimal"/>
      <w:pStyle w:val="ListParagraph"/>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306E9"/>
    <w:multiLevelType w:val="multilevel"/>
    <w:tmpl w:val="6E96CB9C"/>
    <w:lvl w:ilvl="0">
      <w:start w:val="7"/>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6F7674"/>
    <w:multiLevelType w:val="hybridMultilevel"/>
    <w:tmpl w:val="E8F6AFB8"/>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490DB4"/>
    <w:multiLevelType w:val="hybridMultilevel"/>
    <w:tmpl w:val="14509DD8"/>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06600D5"/>
    <w:multiLevelType w:val="hybridMultilevel"/>
    <w:tmpl w:val="AEB843C2"/>
    <w:lvl w:ilvl="0" w:tplc="B8FC392E">
      <w:start w:val="1"/>
      <w:numFmt w:val="decimal"/>
      <w:pStyle w:val="af10"/>
      <w:lvlText w:val="%1."/>
      <w:lvlJc w:val="center"/>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E561F8"/>
    <w:multiLevelType w:val="multilevel"/>
    <w:tmpl w:val="DC648AC4"/>
    <w:styleLink w:val="ArmenianNumbering"/>
    <w:lvl w:ilvl="0">
      <w:start w:val="1"/>
      <w:numFmt w:val="decimal"/>
      <w:pStyle w:val="SylfaenQuestion"/>
      <w:lvlText w:val="%1."/>
      <w:lvlJc w:val="left"/>
      <w:pPr>
        <w:tabs>
          <w:tab w:val="num" w:pos="1440"/>
        </w:tabs>
        <w:ind w:left="1440" w:hanging="1440"/>
      </w:pPr>
      <w:rPr>
        <w:rFonts w:hint="default"/>
        <w:b/>
        <w:i w:val="0"/>
        <w:caps w:val="0"/>
        <w:strike w:val="0"/>
        <w:dstrike w:val="0"/>
        <w:vanish w:val="0"/>
        <w:color w:val="auto"/>
        <w:sz w:val="20"/>
        <w:szCs w:val="20"/>
        <w:u w:val="none"/>
        <w:vertAlign w:val="baseline"/>
      </w:rPr>
    </w:lvl>
    <w:lvl w:ilvl="1">
      <w:start w:val="1"/>
      <w:numFmt w:val="decimal"/>
      <w:pStyle w:val="Sylfaen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23F368A"/>
    <w:multiLevelType w:val="hybridMultilevel"/>
    <w:tmpl w:val="FC4A2FEE"/>
    <w:lvl w:ilvl="0" w:tplc="9B20C63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4C5BE8"/>
    <w:multiLevelType w:val="hybridMultilevel"/>
    <w:tmpl w:val="3C726DB0"/>
    <w:lvl w:ilvl="0" w:tplc="FC363FAE">
      <w:start w:val="1"/>
      <w:numFmt w:val="decimal"/>
      <w:pStyle w:val="ListNumber3"/>
      <w:lvlText w:val="%1"/>
      <w:lvlJc w:val="center"/>
      <w:pPr>
        <w:ind w:left="936" w:hanging="360"/>
      </w:pPr>
      <w:rPr>
        <w:rFonts w:hint="default"/>
        <w:vertAlign w:val="superscrip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4ACD62AE"/>
    <w:multiLevelType w:val="hybridMultilevel"/>
    <w:tmpl w:val="ABD45F3E"/>
    <w:lvl w:ilvl="0" w:tplc="04090001">
      <w:start w:val="1"/>
      <w:numFmt w:val="bullet"/>
      <w:lvlText w:val=""/>
      <w:lvlJc w:val="left"/>
      <w:pPr>
        <w:ind w:left="720" w:hanging="360"/>
      </w:pPr>
      <w:rPr>
        <w:rFonts w:ascii="Symbol" w:hAnsi="Symbol" w:hint="default"/>
      </w:rPr>
    </w:lvl>
    <w:lvl w:ilvl="1" w:tplc="308823FA">
      <w:start w:val="1"/>
      <w:numFmt w:val="bullet"/>
      <w:pStyle w:val="AppBullt2"/>
      <w:lvlText w:val="◦"/>
      <w:lvlJc w:val="left"/>
      <w:pPr>
        <w:ind w:left="1440" w:hanging="360"/>
      </w:pPr>
      <w:rPr>
        <w:rFonts w:ascii="Segoe UI" w:hAnsi="Segoe U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75EE5"/>
    <w:multiLevelType w:val="hybridMultilevel"/>
    <w:tmpl w:val="FDB0D8FA"/>
    <w:lvl w:ilvl="0" w:tplc="9B20C63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487CDB"/>
    <w:multiLevelType w:val="hybridMultilevel"/>
    <w:tmpl w:val="AF526350"/>
    <w:lvl w:ilvl="0" w:tplc="9B20C63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34" w15:restartNumberingAfterBreak="0">
    <w:nsid w:val="51A74B22"/>
    <w:multiLevelType w:val="hybridMultilevel"/>
    <w:tmpl w:val="F3F0F89C"/>
    <w:lvl w:ilvl="0" w:tplc="FB72D700">
      <w:start w:val="1"/>
      <w:numFmt w:val="upperLetter"/>
      <w:pStyle w:val="AppAHeading3"/>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7779A7"/>
    <w:multiLevelType w:val="hybridMultilevel"/>
    <w:tmpl w:val="0466289C"/>
    <w:lvl w:ilvl="0" w:tplc="94C495C4">
      <w:start w:val="1"/>
      <w:numFmt w:val="bullet"/>
      <w:pStyle w:val="Tablebullet2"/>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9B9631E"/>
    <w:multiLevelType w:val="hybridMultilevel"/>
    <w:tmpl w:val="8126F5AA"/>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493E35"/>
    <w:multiLevelType w:val="hybridMultilevel"/>
    <w:tmpl w:val="2CFC24C4"/>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8B1267"/>
    <w:multiLevelType w:val="hybridMultilevel"/>
    <w:tmpl w:val="FE140F34"/>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BA0C68"/>
    <w:multiLevelType w:val="hybridMultilevel"/>
    <w:tmpl w:val="9C305458"/>
    <w:lvl w:ilvl="0" w:tplc="17742B8E">
      <w:start w:val="1"/>
      <w:numFmt w:val="bullet"/>
      <w:lvlText w:val="•"/>
      <w:lvlJc w:val="left"/>
      <w:pPr>
        <w:ind w:left="720" w:hanging="360"/>
      </w:pPr>
      <w:rPr>
        <w:rFonts w:ascii="Segoe UI" w:hAnsi="Segoe U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87C05"/>
    <w:multiLevelType w:val="hybridMultilevel"/>
    <w:tmpl w:val="A5600826"/>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43" w15:restartNumberingAfterBreak="0">
    <w:nsid w:val="64735F82"/>
    <w:multiLevelType w:val="hybridMultilevel"/>
    <w:tmpl w:val="E21E257C"/>
    <w:lvl w:ilvl="0" w:tplc="91E0D786">
      <w:start w:val="1"/>
      <w:numFmt w:val="upperRoman"/>
      <w:pStyle w:val="AppHeading2AppP"/>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1B6BAC"/>
    <w:multiLevelType w:val="hybridMultilevel"/>
    <w:tmpl w:val="81ECE2E4"/>
    <w:lvl w:ilvl="0" w:tplc="CD18AE24">
      <w:start w:val="1"/>
      <w:numFmt w:val="bullet"/>
      <w:pStyle w:val="ListBullet2"/>
      <w:lvlText w:val="◦"/>
      <w:lvlJc w:val="left"/>
      <w:pPr>
        <w:ind w:left="720" w:hanging="360"/>
      </w:pPr>
      <w:rPr>
        <w:rFonts w:ascii="Verdana" w:hAnsi="Verdana" w:cs="Times New Roman" w:hint="default"/>
        <w:b w:val="0"/>
        <w:i w:val="0"/>
        <w:caps w:val="0"/>
        <w:strike w:val="0"/>
        <w:dstrike w:val="0"/>
        <w:vanish w:val="0"/>
        <w:color w:val="auto"/>
        <w:sz w:val="20"/>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290B75"/>
    <w:multiLevelType w:val="hybridMultilevel"/>
    <w:tmpl w:val="508EF0DA"/>
    <w:lvl w:ilvl="0" w:tplc="9B20C63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62E3EFF"/>
    <w:multiLevelType w:val="hybridMultilevel"/>
    <w:tmpl w:val="999EABB6"/>
    <w:lvl w:ilvl="0" w:tplc="DDD8611E">
      <w:start w:val="1"/>
      <w:numFmt w:val="decimal"/>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241BE5"/>
    <w:multiLevelType w:val="hybridMultilevel"/>
    <w:tmpl w:val="10B8AADC"/>
    <w:lvl w:ilvl="0" w:tplc="57D4D4C0">
      <w:start w:val="1"/>
      <w:numFmt w:val="bullet"/>
      <w:pStyle w:val="TableBullet"/>
      <w:lvlText w:val="•"/>
      <w:lvlJc w:val="left"/>
      <w:pPr>
        <w:ind w:left="380" w:hanging="360"/>
      </w:pPr>
      <w:rPr>
        <w:rFonts w:ascii="Verdana" w:hAnsi="Verdana"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7A772F"/>
    <w:multiLevelType w:val="hybridMultilevel"/>
    <w:tmpl w:val="5F188482"/>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0A7A02"/>
    <w:multiLevelType w:val="hybridMultilevel"/>
    <w:tmpl w:val="BDAE5292"/>
    <w:lvl w:ilvl="0" w:tplc="88B40C4A">
      <w:start w:val="1"/>
      <w:numFmt w:val="bullet"/>
      <w:pStyle w:val="tablebullet0"/>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471A81"/>
    <w:multiLevelType w:val="hybridMultilevel"/>
    <w:tmpl w:val="354870DC"/>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7D029D5"/>
    <w:multiLevelType w:val="multilevel"/>
    <w:tmpl w:val="1F683B00"/>
    <w:lvl w:ilvl="0">
      <w:start w:val="1"/>
      <w:numFmt w:val="decimal"/>
      <w:pStyle w:val="ae9"/>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79091248"/>
    <w:multiLevelType w:val="hybridMultilevel"/>
    <w:tmpl w:val="45E86A24"/>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B704FD8"/>
    <w:multiLevelType w:val="hybridMultilevel"/>
    <w:tmpl w:val="D11EEE70"/>
    <w:lvl w:ilvl="0" w:tplc="FFFFFFFF">
      <w:start w:val="1"/>
      <w:numFmt w:val="bullet"/>
      <w:pStyle w:val="Appbullet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2E16DC"/>
    <w:multiLevelType w:val="hybridMultilevel"/>
    <w:tmpl w:val="C6D2F59C"/>
    <w:lvl w:ilvl="0" w:tplc="28AEE374">
      <w:start w:val="1"/>
      <w:numFmt w:val="bullet"/>
      <w:pStyle w:val="AppBullet10"/>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013E57"/>
    <w:multiLevelType w:val="hybridMultilevel"/>
    <w:tmpl w:val="C31A395E"/>
    <w:lvl w:ilvl="0" w:tplc="C742B94C">
      <w:start w:val="1"/>
      <w:numFmt w:val="bullet"/>
      <w:pStyle w:val="ListBullet3"/>
      <w:lvlText w:val="▪"/>
      <w:lvlJc w:val="left"/>
      <w:pPr>
        <w:ind w:left="720" w:hanging="360"/>
      </w:pPr>
      <w:rPr>
        <w:rFonts w:ascii="Verdana" w:hAnsi="Verdana" w:cs="Times New Roman"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924F1"/>
    <w:multiLevelType w:val="hybridMultilevel"/>
    <w:tmpl w:val="10FE2556"/>
    <w:lvl w:ilvl="0" w:tplc="9D601740">
      <w:start w:val="1"/>
      <w:numFmt w:val="bullet"/>
      <w:pStyle w:val="TableBulletLMTable3-1"/>
      <w:lvlText w:val="•"/>
      <w:lvlJc w:val="left"/>
      <w:pPr>
        <w:ind w:left="360" w:hanging="360"/>
      </w:pPr>
      <w:rPr>
        <w:rFonts w:ascii="Times New Roman" w:hAnsi="Times New Roman" w:cs="Times New Roman"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F953E92"/>
    <w:multiLevelType w:val="hybridMultilevel"/>
    <w:tmpl w:val="77B0390A"/>
    <w:lvl w:ilvl="0" w:tplc="AF664B32">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FA4091D"/>
    <w:multiLevelType w:val="hybridMultilevel"/>
    <w:tmpl w:val="E35E1FC2"/>
    <w:lvl w:ilvl="0" w:tplc="A0A8BCE6">
      <w:start w:val="1"/>
      <w:numFmt w:val="bullet"/>
      <w:lvlText w:val="•"/>
      <w:lvlJc w:val="left"/>
      <w:pPr>
        <w:ind w:left="720" w:hanging="360"/>
      </w:pPr>
      <w:rPr>
        <w:rFonts w:ascii="Arial" w:hAnsi="Aria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2663774">
    <w:abstractNumId w:val="10"/>
  </w:num>
  <w:num w:numId="2" w16cid:durableId="1558586308">
    <w:abstractNumId w:val="3"/>
  </w:num>
  <w:num w:numId="3" w16cid:durableId="1576357941">
    <w:abstractNumId w:val="50"/>
  </w:num>
  <w:num w:numId="4" w16cid:durableId="1714769987">
    <w:abstractNumId w:val="12"/>
  </w:num>
  <w:num w:numId="5" w16cid:durableId="184295826">
    <w:abstractNumId w:val="33"/>
  </w:num>
  <w:num w:numId="6" w16cid:durableId="1894197156">
    <w:abstractNumId w:val="42"/>
  </w:num>
  <w:num w:numId="7" w16cid:durableId="1322079783">
    <w:abstractNumId w:val="59"/>
  </w:num>
  <w:num w:numId="8" w16cid:durableId="831144217">
    <w:abstractNumId w:val="11"/>
  </w:num>
  <w:num w:numId="9" w16cid:durableId="583340118">
    <w:abstractNumId w:val="8"/>
  </w:num>
  <w:num w:numId="10" w16cid:durableId="753474986">
    <w:abstractNumId w:val="5"/>
  </w:num>
  <w:num w:numId="11" w16cid:durableId="1059597768">
    <w:abstractNumId w:val="13"/>
  </w:num>
  <w:num w:numId="12" w16cid:durableId="1098327908">
    <w:abstractNumId w:val="29"/>
  </w:num>
  <w:num w:numId="13" w16cid:durableId="1916936813">
    <w:abstractNumId w:val="20"/>
  </w:num>
  <w:num w:numId="14" w16cid:durableId="217397024">
    <w:abstractNumId w:val="22"/>
  </w:num>
  <w:num w:numId="15" w16cid:durableId="1114515828">
    <w:abstractNumId w:val="44"/>
  </w:num>
  <w:num w:numId="16" w16cid:durableId="1792046960">
    <w:abstractNumId w:val="7"/>
  </w:num>
  <w:num w:numId="17" w16cid:durableId="736779193">
    <w:abstractNumId w:val="51"/>
  </w:num>
  <w:num w:numId="18" w16cid:durableId="336813135">
    <w:abstractNumId w:val="49"/>
  </w:num>
  <w:num w:numId="19" w16cid:durableId="1305702194">
    <w:abstractNumId w:val="18"/>
  </w:num>
  <w:num w:numId="20" w16cid:durableId="493492970">
    <w:abstractNumId w:val="19"/>
  </w:num>
  <w:num w:numId="21" w16cid:durableId="150559474">
    <w:abstractNumId w:val="41"/>
  </w:num>
  <w:num w:numId="22" w16cid:durableId="659776575">
    <w:abstractNumId w:val="55"/>
  </w:num>
  <w:num w:numId="23" w16cid:durableId="1774014493">
    <w:abstractNumId w:val="21"/>
  </w:num>
  <w:num w:numId="24" w16cid:durableId="1322809579">
    <w:abstractNumId w:val="53"/>
  </w:num>
  <w:num w:numId="25" w16cid:durableId="7947568">
    <w:abstractNumId w:val="26"/>
  </w:num>
  <w:num w:numId="26" w16cid:durableId="1186486005">
    <w:abstractNumId w:val="0"/>
  </w:num>
  <w:num w:numId="27" w16cid:durableId="1695033552">
    <w:abstractNumId w:val="16"/>
  </w:num>
  <w:num w:numId="28" w16cid:durableId="637801815">
    <w:abstractNumId w:val="43"/>
  </w:num>
  <w:num w:numId="29" w16cid:durableId="1037897498">
    <w:abstractNumId w:val="27"/>
    <w:lvlOverride w:ilvl="0">
      <w:lvl w:ilvl="0">
        <w:start w:val="1"/>
        <w:numFmt w:val="decimal"/>
        <w:pStyle w:val="SylfaenQuestion"/>
        <w:lvlText w:val="%1."/>
        <w:lvlJc w:val="left"/>
        <w:pPr>
          <w:tabs>
            <w:tab w:val="num" w:pos="1440"/>
          </w:tabs>
          <w:ind w:left="1440" w:hanging="1440"/>
        </w:pPr>
        <w:rPr>
          <w:rFonts w:hint="default"/>
          <w:b/>
          <w:i w:val="0"/>
          <w:caps w:val="0"/>
          <w:strike w:val="0"/>
          <w:dstrike w:val="0"/>
          <w:vanish w:val="0"/>
          <w:color w:val="auto"/>
          <w:sz w:val="24"/>
          <w:szCs w:val="24"/>
          <w:u w:val="none"/>
          <w:vertAlign w:val="baseline"/>
        </w:rPr>
      </w:lvl>
    </w:lvlOverride>
    <w:lvlOverride w:ilvl="1">
      <w:lvl w:ilvl="1">
        <w:start w:val="1"/>
        <w:numFmt w:val="decimal"/>
        <w:pStyle w:val="SylfaenResponse"/>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superscrip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16cid:durableId="2143955939">
    <w:abstractNumId w:val="27"/>
  </w:num>
  <w:num w:numId="31" w16cid:durableId="1136950601">
    <w:abstractNumId w:val="1"/>
  </w:num>
  <w:num w:numId="32" w16cid:durableId="1758673086">
    <w:abstractNumId w:val="2"/>
    <w:lvlOverride w:ilvl="0">
      <w:startOverride w:val="1"/>
    </w:lvlOverride>
  </w:num>
  <w:num w:numId="33" w16cid:durableId="77603344">
    <w:abstractNumId w:val="46"/>
  </w:num>
  <w:num w:numId="34" w16cid:durableId="14384309">
    <w:abstractNumId w:val="58"/>
  </w:num>
  <w:num w:numId="35" w16cid:durableId="1449591493">
    <w:abstractNumId w:val="5"/>
    <w:lvlOverride w:ilvl="0">
      <w:startOverride w:val="1"/>
    </w:lvlOverride>
  </w:num>
  <w:num w:numId="36" w16cid:durableId="1005284534">
    <w:abstractNumId w:val="34"/>
  </w:num>
  <w:num w:numId="37" w16cid:durableId="1408378234">
    <w:abstractNumId w:val="35"/>
  </w:num>
  <w:num w:numId="38" w16cid:durableId="1532568459">
    <w:abstractNumId w:val="23"/>
  </w:num>
  <w:num w:numId="39" w16cid:durableId="234750839">
    <w:abstractNumId w:val="4"/>
  </w:num>
  <w:num w:numId="40" w16cid:durableId="1965848632">
    <w:abstractNumId w:val="30"/>
  </w:num>
  <w:num w:numId="41" w16cid:durableId="1937207959">
    <w:abstractNumId w:val="39"/>
  </w:num>
  <w:num w:numId="42" w16cid:durableId="1901208921">
    <w:abstractNumId w:val="47"/>
  </w:num>
  <w:num w:numId="43" w16cid:durableId="644049916">
    <w:abstractNumId w:val="57"/>
  </w:num>
  <w:num w:numId="44" w16cid:durableId="1638298736">
    <w:abstractNumId w:val="14"/>
  </w:num>
  <w:num w:numId="45" w16cid:durableId="25061139">
    <w:abstractNumId w:val="28"/>
  </w:num>
  <w:num w:numId="46" w16cid:durableId="1336691449">
    <w:abstractNumId w:val="31"/>
  </w:num>
  <w:num w:numId="47" w16cid:durableId="391580528">
    <w:abstractNumId w:val="17"/>
  </w:num>
  <w:num w:numId="48" w16cid:durableId="1051610192">
    <w:abstractNumId w:val="6"/>
  </w:num>
  <w:num w:numId="49" w16cid:durableId="1019163631">
    <w:abstractNumId w:val="45"/>
  </w:num>
  <w:num w:numId="50" w16cid:durableId="590167302">
    <w:abstractNumId w:val="32"/>
  </w:num>
  <w:num w:numId="51" w16cid:durableId="1542521229">
    <w:abstractNumId w:val="15"/>
  </w:num>
  <w:num w:numId="52" w16cid:durableId="373896267">
    <w:abstractNumId w:val="40"/>
  </w:num>
  <w:num w:numId="53" w16cid:durableId="561447282">
    <w:abstractNumId w:val="56"/>
  </w:num>
  <w:num w:numId="54" w16cid:durableId="832985492">
    <w:abstractNumId w:val="36"/>
  </w:num>
  <w:num w:numId="55" w16cid:durableId="198930723">
    <w:abstractNumId w:val="52"/>
  </w:num>
  <w:num w:numId="56" w16cid:durableId="1802915084">
    <w:abstractNumId w:val="25"/>
  </w:num>
  <w:num w:numId="57" w16cid:durableId="525753627">
    <w:abstractNumId w:val="48"/>
  </w:num>
  <w:num w:numId="58" w16cid:durableId="205441">
    <w:abstractNumId w:val="9"/>
  </w:num>
  <w:num w:numId="59" w16cid:durableId="883448173">
    <w:abstractNumId w:val="38"/>
  </w:num>
  <w:num w:numId="60" w16cid:durableId="15471159">
    <w:abstractNumId w:val="24"/>
  </w:num>
  <w:num w:numId="61" w16cid:durableId="70203179">
    <w:abstractNumId w:val="54"/>
  </w:num>
  <w:num w:numId="62" w16cid:durableId="875511108">
    <w:abstractNumId w:val="37"/>
  </w:num>
  <w:num w:numId="63" w16cid:durableId="1138719855">
    <w:abstractNumId w:val="60"/>
  </w:num>
  <w:num w:numId="64" w16cid:durableId="108352968">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0A10"/>
    <w:rsid w:val="00001638"/>
    <w:rsid w:val="00003043"/>
    <w:rsid w:val="000031E6"/>
    <w:rsid w:val="0000404C"/>
    <w:rsid w:val="00004153"/>
    <w:rsid w:val="000045FE"/>
    <w:rsid w:val="0000514C"/>
    <w:rsid w:val="00005521"/>
    <w:rsid w:val="00005631"/>
    <w:rsid w:val="000059D4"/>
    <w:rsid w:val="000061A6"/>
    <w:rsid w:val="00006C25"/>
    <w:rsid w:val="00007142"/>
    <w:rsid w:val="000074F7"/>
    <w:rsid w:val="000077D0"/>
    <w:rsid w:val="00007925"/>
    <w:rsid w:val="00010288"/>
    <w:rsid w:val="00010F4A"/>
    <w:rsid w:val="00011525"/>
    <w:rsid w:val="0001157A"/>
    <w:rsid w:val="00011EC9"/>
    <w:rsid w:val="000121A3"/>
    <w:rsid w:val="00012345"/>
    <w:rsid w:val="000125D7"/>
    <w:rsid w:val="000141B9"/>
    <w:rsid w:val="000146A2"/>
    <w:rsid w:val="0001509E"/>
    <w:rsid w:val="00015331"/>
    <w:rsid w:val="00015856"/>
    <w:rsid w:val="0001636E"/>
    <w:rsid w:val="00016652"/>
    <w:rsid w:val="000179FE"/>
    <w:rsid w:val="00017BEC"/>
    <w:rsid w:val="00017DC0"/>
    <w:rsid w:val="00017F93"/>
    <w:rsid w:val="000209A8"/>
    <w:rsid w:val="00020A14"/>
    <w:rsid w:val="00020D5A"/>
    <w:rsid w:val="00022CA4"/>
    <w:rsid w:val="000232E5"/>
    <w:rsid w:val="000234CD"/>
    <w:rsid w:val="00023F92"/>
    <w:rsid w:val="0002419A"/>
    <w:rsid w:val="0002559B"/>
    <w:rsid w:val="00025807"/>
    <w:rsid w:val="00026698"/>
    <w:rsid w:val="00026ED2"/>
    <w:rsid w:val="0002737B"/>
    <w:rsid w:val="00027479"/>
    <w:rsid w:val="00027E69"/>
    <w:rsid w:val="00030AE6"/>
    <w:rsid w:val="00030B97"/>
    <w:rsid w:val="00030F8F"/>
    <w:rsid w:val="000313FF"/>
    <w:rsid w:val="00031825"/>
    <w:rsid w:val="00032058"/>
    <w:rsid w:val="00032277"/>
    <w:rsid w:val="0003275C"/>
    <w:rsid w:val="00032B62"/>
    <w:rsid w:val="000331DB"/>
    <w:rsid w:val="0003332F"/>
    <w:rsid w:val="000337F8"/>
    <w:rsid w:val="000342FA"/>
    <w:rsid w:val="0003479C"/>
    <w:rsid w:val="00034C3A"/>
    <w:rsid w:val="00034D9D"/>
    <w:rsid w:val="0003506A"/>
    <w:rsid w:val="0003531C"/>
    <w:rsid w:val="00035334"/>
    <w:rsid w:val="00035368"/>
    <w:rsid w:val="0003557E"/>
    <w:rsid w:val="00035D3B"/>
    <w:rsid w:val="00036955"/>
    <w:rsid w:val="00037130"/>
    <w:rsid w:val="00037883"/>
    <w:rsid w:val="00037D68"/>
    <w:rsid w:val="00040096"/>
    <w:rsid w:val="00040512"/>
    <w:rsid w:val="0004056C"/>
    <w:rsid w:val="000409B7"/>
    <w:rsid w:val="0004170B"/>
    <w:rsid w:val="0004171D"/>
    <w:rsid w:val="00041E30"/>
    <w:rsid w:val="000423D6"/>
    <w:rsid w:val="000423DC"/>
    <w:rsid w:val="000429C6"/>
    <w:rsid w:val="00042DC2"/>
    <w:rsid w:val="0004371C"/>
    <w:rsid w:val="0004397D"/>
    <w:rsid w:val="000442B3"/>
    <w:rsid w:val="00044484"/>
    <w:rsid w:val="00044516"/>
    <w:rsid w:val="00044A70"/>
    <w:rsid w:val="00044E1A"/>
    <w:rsid w:val="00045478"/>
    <w:rsid w:val="00045820"/>
    <w:rsid w:val="00045E10"/>
    <w:rsid w:val="0004661D"/>
    <w:rsid w:val="000467FE"/>
    <w:rsid w:val="000469C7"/>
    <w:rsid w:val="00046B3C"/>
    <w:rsid w:val="00046E61"/>
    <w:rsid w:val="00046EC7"/>
    <w:rsid w:val="00047930"/>
    <w:rsid w:val="00047F21"/>
    <w:rsid w:val="000506B6"/>
    <w:rsid w:val="00050C22"/>
    <w:rsid w:val="00051F35"/>
    <w:rsid w:val="0005206B"/>
    <w:rsid w:val="000528B4"/>
    <w:rsid w:val="00052BBA"/>
    <w:rsid w:val="000531BB"/>
    <w:rsid w:val="00053342"/>
    <w:rsid w:val="00053802"/>
    <w:rsid w:val="00053DDC"/>
    <w:rsid w:val="00054825"/>
    <w:rsid w:val="00054A50"/>
    <w:rsid w:val="00054DF6"/>
    <w:rsid w:val="00054FFF"/>
    <w:rsid w:val="00055006"/>
    <w:rsid w:val="0005547B"/>
    <w:rsid w:val="000570F8"/>
    <w:rsid w:val="000571FA"/>
    <w:rsid w:val="000577EE"/>
    <w:rsid w:val="0005796E"/>
    <w:rsid w:val="00057B3A"/>
    <w:rsid w:val="00057B6D"/>
    <w:rsid w:val="00057CA3"/>
    <w:rsid w:val="00057DC2"/>
    <w:rsid w:val="000607A6"/>
    <w:rsid w:val="00060DA6"/>
    <w:rsid w:val="00061198"/>
    <w:rsid w:val="00061590"/>
    <w:rsid w:val="00061B09"/>
    <w:rsid w:val="00061C1B"/>
    <w:rsid w:val="00061D9C"/>
    <w:rsid w:val="00062432"/>
    <w:rsid w:val="00062441"/>
    <w:rsid w:val="00063FFB"/>
    <w:rsid w:val="0006473D"/>
    <w:rsid w:val="000648B7"/>
    <w:rsid w:val="00064D63"/>
    <w:rsid w:val="00066E56"/>
    <w:rsid w:val="00067B45"/>
    <w:rsid w:val="0007078F"/>
    <w:rsid w:val="00070A92"/>
    <w:rsid w:val="00071C89"/>
    <w:rsid w:val="000720AE"/>
    <w:rsid w:val="000722AB"/>
    <w:rsid w:val="000726FD"/>
    <w:rsid w:val="00072C19"/>
    <w:rsid w:val="00072F68"/>
    <w:rsid w:val="000747AB"/>
    <w:rsid w:val="000749DC"/>
    <w:rsid w:val="00074DD9"/>
    <w:rsid w:val="00074E2A"/>
    <w:rsid w:val="00074EBD"/>
    <w:rsid w:val="000757E8"/>
    <w:rsid w:val="00076195"/>
    <w:rsid w:val="000763BA"/>
    <w:rsid w:val="000768EA"/>
    <w:rsid w:val="00076B80"/>
    <w:rsid w:val="000771BB"/>
    <w:rsid w:val="0007730A"/>
    <w:rsid w:val="00077473"/>
    <w:rsid w:val="00077AE1"/>
    <w:rsid w:val="00077CBB"/>
    <w:rsid w:val="00077FC9"/>
    <w:rsid w:val="000809BF"/>
    <w:rsid w:val="00080C45"/>
    <w:rsid w:val="000816CC"/>
    <w:rsid w:val="0008172B"/>
    <w:rsid w:val="00081840"/>
    <w:rsid w:val="00081B94"/>
    <w:rsid w:val="00081CA0"/>
    <w:rsid w:val="0008397B"/>
    <w:rsid w:val="00083B2B"/>
    <w:rsid w:val="00083B9B"/>
    <w:rsid w:val="00083D0E"/>
    <w:rsid w:val="00084979"/>
    <w:rsid w:val="00084C37"/>
    <w:rsid w:val="0008520F"/>
    <w:rsid w:val="00085641"/>
    <w:rsid w:val="0008573F"/>
    <w:rsid w:val="000859D3"/>
    <w:rsid w:val="00086308"/>
    <w:rsid w:val="000868FB"/>
    <w:rsid w:val="00087179"/>
    <w:rsid w:val="0008776D"/>
    <w:rsid w:val="00087826"/>
    <w:rsid w:val="00087B66"/>
    <w:rsid w:val="000900FB"/>
    <w:rsid w:val="00090770"/>
    <w:rsid w:val="00090796"/>
    <w:rsid w:val="00090BB2"/>
    <w:rsid w:val="00090F0A"/>
    <w:rsid w:val="00091513"/>
    <w:rsid w:val="000916E9"/>
    <w:rsid w:val="00091B1E"/>
    <w:rsid w:val="000921C4"/>
    <w:rsid w:val="00092930"/>
    <w:rsid w:val="00092983"/>
    <w:rsid w:val="00092FBF"/>
    <w:rsid w:val="00093AF9"/>
    <w:rsid w:val="00094267"/>
    <w:rsid w:val="00095111"/>
    <w:rsid w:val="00095297"/>
    <w:rsid w:val="00095D1F"/>
    <w:rsid w:val="00096472"/>
    <w:rsid w:val="000967B2"/>
    <w:rsid w:val="000967ED"/>
    <w:rsid w:val="00096955"/>
    <w:rsid w:val="00096E87"/>
    <w:rsid w:val="000970A1"/>
    <w:rsid w:val="000974E8"/>
    <w:rsid w:val="0009783E"/>
    <w:rsid w:val="000A0151"/>
    <w:rsid w:val="000A0184"/>
    <w:rsid w:val="000A0185"/>
    <w:rsid w:val="000A079B"/>
    <w:rsid w:val="000A0D45"/>
    <w:rsid w:val="000A0F76"/>
    <w:rsid w:val="000A1042"/>
    <w:rsid w:val="000A1194"/>
    <w:rsid w:val="000A1271"/>
    <w:rsid w:val="000A13B8"/>
    <w:rsid w:val="000A14AA"/>
    <w:rsid w:val="000A1567"/>
    <w:rsid w:val="000A1F1D"/>
    <w:rsid w:val="000A27F5"/>
    <w:rsid w:val="000A2DE3"/>
    <w:rsid w:val="000A2EA6"/>
    <w:rsid w:val="000A362D"/>
    <w:rsid w:val="000A40F0"/>
    <w:rsid w:val="000A4176"/>
    <w:rsid w:val="000A4339"/>
    <w:rsid w:val="000A4A95"/>
    <w:rsid w:val="000A5B9C"/>
    <w:rsid w:val="000A7058"/>
    <w:rsid w:val="000A72D2"/>
    <w:rsid w:val="000A72D3"/>
    <w:rsid w:val="000A777D"/>
    <w:rsid w:val="000A7FC1"/>
    <w:rsid w:val="000B0367"/>
    <w:rsid w:val="000B037A"/>
    <w:rsid w:val="000B0B3C"/>
    <w:rsid w:val="000B0F10"/>
    <w:rsid w:val="000B0F61"/>
    <w:rsid w:val="000B146D"/>
    <w:rsid w:val="000B161E"/>
    <w:rsid w:val="000B187A"/>
    <w:rsid w:val="000B18FA"/>
    <w:rsid w:val="000B1936"/>
    <w:rsid w:val="000B1B98"/>
    <w:rsid w:val="000B1E0D"/>
    <w:rsid w:val="000B20C3"/>
    <w:rsid w:val="000B2297"/>
    <w:rsid w:val="000B2475"/>
    <w:rsid w:val="000B26CD"/>
    <w:rsid w:val="000B2761"/>
    <w:rsid w:val="000B3298"/>
    <w:rsid w:val="000B3547"/>
    <w:rsid w:val="000B3AC6"/>
    <w:rsid w:val="000B4E67"/>
    <w:rsid w:val="000B51A6"/>
    <w:rsid w:val="000B5548"/>
    <w:rsid w:val="000B573E"/>
    <w:rsid w:val="000B57EB"/>
    <w:rsid w:val="000B5C4D"/>
    <w:rsid w:val="000B5EE6"/>
    <w:rsid w:val="000B602D"/>
    <w:rsid w:val="000B67EF"/>
    <w:rsid w:val="000B70C2"/>
    <w:rsid w:val="000C02F8"/>
    <w:rsid w:val="000C0B8D"/>
    <w:rsid w:val="000C0CC7"/>
    <w:rsid w:val="000C0CFA"/>
    <w:rsid w:val="000C0D39"/>
    <w:rsid w:val="000C0E18"/>
    <w:rsid w:val="000C0F7E"/>
    <w:rsid w:val="000C0FE3"/>
    <w:rsid w:val="000C1458"/>
    <w:rsid w:val="000C14B5"/>
    <w:rsid w:val="000C1DCC"/>
    <w:rsid w:val="000C1DDF"/>
    <w:rsid w:val="000C2703"/>
    <w:rsid w:val="000C2B0B"/>
    <w:rsid w:val="000C2B6C"/>
    <w:rsid w:val="000C30E1"/>
    <w:rsid w:val="000C3467"/>
    <w:rsid w:val="000C36D8"/>
    <w:rsid w:val="000C39E4"/>
    <w:rsid w:val="000C3BE4"/>
    <w:rsid w:val="000C3D9B"/>
    <w:rsid w:val="000C3F17"/>
    <w:rsid w:val="000C6860"/>
    <w:rsid w:val="000C751C"/>
    <w:rsid w:val="000C7636"/>
    <w:rsid w:val="000C774D"/>
    <w:rsid w:val="000C794F"/>
    <w:rsid w:val="000C7FBD"/>
    <w:rsid w:val="000D0002"/>
    <w:rsid w:val="000D0480"/>
    <w:rsid w:val="000D08AC"/>
    <w:rsid w:val="000D0DB8"/>
    <w:rsid w:val="000D0E31"/>
    <w:rsid w:val="000D1C76"/>
    <w:rsid w:val="000D1ECA"/>
    <w:rsid w:val="000D2035"/>
    <w:rsid w:val="000D20A0"/>
    <w:rsid w:val="000D23DD"/>
    <w:rsid w:val="000D2452"/>
    <w:rsid w:val="000D28A0"/>
    <w:rsid w:val="000D28A4"/>
    <w:rsid w:val="000D2F8D"/>
    <w:rsid w:val="000D3306"/>
    <w:rsid w:val="000D33CE"/>
    <w:rsid w:val="000D3609"/>
    <w:rsid w:val="000D393E"/>
    <w:rsid w:val="000D3CCA"/>
    <w:rsid w:val="000D47AF"/>
    <w:rsid w:val="000D4C9D"/>
    <w:rsid w:val="000D6154"/>
    <w:rsid w:val="000D688E"/>
    <w:rsid w:val="000D68E0"/>
    <w:rsid w:val="000D6C1A"/>
    <w:rsid w:val="000D6D66"/>
    <w:rsid w:val="000D6E29"/>
    <w:rsid w:val="000E03FA"/>
    <w:rsid w:val="000E048A"/>
    <w:rsid w:val="000E0670"/>
    <w:rsid w:val="000E06BB"/>
    <w:rsid w:val="000E07EE"/>
    <w:rsid w:val="000E0E9D"/>
    <w:rsid w:val="000E11BA"/>
    <w:rsid w:val="000E1CFE"/>
    <w:rsid w:val="000E265A"/>
    <w:rsid w:val="000E27F8"/>
    <w:rsid w:val="000E3283"/>
    <w:rsid w:val="000E3956"/>
    <w:rsid w:val="000E39D8"/>
    <w:rsid w:val="000E3DAA"/>
    <w:rsid w:val="000E3EEA"/>
    <w:rsid w:val="000E3F20"/>
    <w:rsid w:val="000E4373"/>
    <w:rsid w:val="000E4E8E"/>
    <w:rsid w:val="000E500B"/>
    <w:rsid w:val="000E5A1A"/>
    <w:rsid w:val="000E6548"/>
    <w:rsid w:val="000E6667"/>
    <w:rsid w:val="000E698D"/>
    <w:rsid w:val="000E6F69"/>
    <w:rsid w:val="000E704D"/>
    <w:rsid w:val="000E733A"/>
    <w:rsid w:val="000F08AB"/>
    <w:rsid w:val="000F0DF7"/>
    <w:rsid w:val="000F1B5A"/>
    <w:rsid w:val="000F1CF8"/>
    <w:rsid w:val="000F1EAD"/>
    <w:rsid w:val="000F2105"/>
    <w:rsid w:val="000F22A8"/>
    <w:rsid w:val="000F28ED"/>
    <w:rsid w:val="000F2C67"/>
    <w:rsid w:val="000F2E60"/>
    <w:rsid w:val="000F33A9"/>
    <w:rsid w:val="000F4177"/>
    <w:rsid w:val="000F418B"/>
    <w:rsid w:val="000F4290"/>
    <w:rsid w:val="000F5BC9"/>
    <w:rsid w:val="000F5F9F"/>
    <w:rsid w:val="000F6985"/>
    <w:rsid w:val="000F69F1"/>
    <w:rsid w:val="000F752B"/>
    <w:rsid w:val="000F753A"/>
    <w:rsid w:val="000F7C9F"/>
    <w:rsid w:val="001003CA"/>
    <w:rsid w:val="001007CB"/>
    <w:rsid w:val="0010131C"/>
    <w:rsid w:val="00101461"/>
    <w:rsid w:val="001017F1"/>
    <w:rsid w:val="001025B3"/>
    <w:rsid w:val="00102747"/>
    <w:rsid w:val="00103043"/>
    <w:rsid w:val="001032C0"/>
    <w:rsid w:val="00103A6E"/>
    <w:rsid w:val="00104382"/>
    <w:rsid w:val="00104C83"/>
    <w:rsid w:val="00104E4E"/>
    <w:rsid w:val="001059CC"/>
    <w:rsid w:val="001060BE"/>
    <w:rsid w:val="001063D7"/>
    <w:rsid w:val="00106836"/>
    <w:rsid w:val="00106C0C"/>
    <w:rsid w:val="00106E31"/>
    <w:rsid w:val="00107001"/>
    <w:rsid w:val="0010737F"/>
    <w:rsid w:val="00107395"/>
    <w:rsid w:val="001076DF"/>
    <w:rsid w:val="00107826"/>
    <w:rsid w:val="0010790D"/>
    <w:rsid w:val="00110483"/>
    <w:rsid w:val="00111877"/>
    <w:rsid w:val="0011191D"/>
    <w:rsid w:val="00112215"/>
    <w:rsid w:val="001131A6"/>
    <w:rsid w:val="00113CED"/>
    <w:rsid w:val="00113EB6"/>
    <w:rsid w:val="0011402C"/>
    <w:rsid w:val="00114370"/>
    <w:rsid w:val="001146B9"/>
    <w:rsid w:val="00114730"/>
    <w:rsid w:val="00114F1D"/>
    <w:rsid w:val="0011503B"/>
    <w:rsid w:val="00115060"/>
    <w:rsid w:val="00115159"/>
    <w:rsid w:val="0011660E"/>
    <w:rsid w:val="00116CCE"/>
    <w:rsid w:val="00117587"/>
    <w:rsid w:val="00117616"/>
    <w:rsid w:val="0011793A"/>
    <w:rsid w:val="00121218"/>
    <w:rsid w:val="00121A67"/>
    <w:rsid w:val="00121AE8"/>
    <w:rsid w:val="0012223B"/>
    <w:rsid w:val="0012261D"/>
    <w:rsid w:val="00122A54"/>
    <w:rsid w:val="00122C92"/>
    <w:rsid w:val="00123B1D"/>
    <w:rsid w:val="00124079"/>
    <w:rsid w:val="001245EA"/>
    <w:rsid w:val="00125625"/>
    <w:rsid w:val="0012563A"/>
    <w:rsid w:val="00125B12"/>
    <w:rsid w:val="001268D1"/>
    <w:rsid w:val="00126C23"/>
    <w:rsid w:val="001271E1"/>
    <w:rsid w:val="001274D2"/>
    <w:rsid w:val="00127A33"/>
    <w:rsid w:val="00127E93"/>
    <w:rsid w:val="0013083C"/>
    <w:rsid w:val="001309E9"/>
    <w:rsid w:val="00130F4E"/>
    <w:rsid w:val="001317D0"/>
    <w:rsid w:val="0013191F"/>
    <w:rsid w:val="00131AEB"/>
    <w:rsid w:val="00132148"/>
    <w:rsid w:val="001323F6"/>
    <w:rsid w:val="00132AFF"/>
    <w:rsid w:val="00132B90"/>
    <w:rsid w:val="00132E93"/>
    <w:rsid w:val="001330FF"/>
    <w:rsid w:val="00133D85"/>
    <w:rsid w:val="00133F7F"/>
    <w:rsid w:val="0013434A"/>
    <w:rsid w:val="001356B2"/>
    <w:rsid w:val="00135D3F"/>
    <w:rsid w:val="001360CE"/>
    <w:rsid w:val="0013615C"/>
    <w:rsid w:val="00136BA1"/>
    <w:rsid w:val="00136E00"/>
    <w:rsid w:val="001372A1"/>
    <w:rsid w:val="0013771C"/>
    <w:rsid w:val="00137FB3"/>
    <w:rsid w:val="001400AB"/>
    <w:rsid w:val="00141B8F"/>
    <w:rsid w:val="00141E44"/>
    <w:rsid w:val="00142001"/>
    <w:rsid w:val="00142111"/>
    <w:rsid w:val="00142219"/>
    <w:rsid w:val="0014358D"/>
    <w:rsid w:val="00143952"/>
    <w:rsid w:val="0014461C"/>
    <w:rsid w:val="00144D8F"/>
    <w:rsid w:val="00145007"/>
    <w:rsid w:val="0014603D"/>
    <w:rsid w:val="00146260"/>
    <w:rsid w:val="00146279"/>
    <w:rsid w:val="00146339"/>
    <w:rsid w:val="00146501"/>
    <w:rsid w:val="001468FB"/>
    <w:rsid w:val="00147251"/>
    <w:rsid w:val="0014776D"/>
    <w:rsid w:val="001479FA"/>
    <w:rsid w:val="00147F08"/>
    <w:rsid w:val="00147F64"/>
    <w:rsid w:val="00150A56"/>
    <w:rsid w:val="00150E99"/>
    <w:rsid w:val="0015158D"/>
    <w:rsid w:val="0015226D"/>
    <w:rsid w:val="001522D8"/>
    <w:rsid w:val="00152430"/>
    <w:rsid w:val="001524BA"/>
    <w:rsid w:val="001524CD"/>
    <w:rsid w:val="00152A6C"/>
    <w:rsid w:val="00152E20"/>
    <w:rsid w:val="00153041"/>
    <w:rsid w:val="00153296"/>
    <w:rsid w:val="001533CC"/>
    <w:rsid w:val="00153813"/>
    <w:rsid w:val="0015383F"/>
    <w:rsid w:val="00153A6C"/>
    <w:rsid w:val="00153E00"/>
    <w:rsid w:val="00154D8D"/>
    <w:rsid w:val="00155365"/>
    <w:rsid w:val="00155A9A"/>
    <w:rsid w:val="00155D1A"/>
    <w:rsid w:val="00156061"/>
    <w:rsid w:val="001565CB"/>
    <w:rsid w:val="00156CF2"/>
    <w:rsid w:val="00157120"/>
    <w:rsid w:val="00157305"/>
    <w:rsid w:val="00157DA0"/>
    <w:rsid w:val="00157E72"/>
    <w:rsid w:val="00157F1B"/>
    <w:rsid w:val="00157F5B"/>
    <w:rsid w:val="0016037C"/>
    <w:rsid w:val="0016041F"/>
    <w:rsid w:val="0016062F"/>
    <w:rsid w:val="00160688"/>
    <w:rsid w:val="001608C8"/>
    <w:rsid w:val="00160CDF"/>
    <w:rsid w:val="00160CEE"/>
    <w:rsid w:val="001619F8"/>
    <w:rsid w:val="00161C76"/>
    <w:rsid w:val="001623F5"/>
    <w:rsid w:val="00162E44"/>
    <w:rsid w:val="00163147"/>
    <w:rsid w:val="0016326C"/>
    <w:rsid w:val="0016348E"/>
    <w:rsid w:val="00164190"/>
    <w:rsid w:val="00164CAE"/>
    <w:rsid w:val="001654C4"/>
    <w:rsid w:val="00165BA3"/>
    <w:rsid w:val="00165D92"/>
    <w:rsid w:val="00166056"/>
    <w:rsid w:val="001666D5"/>
    <w:rsid w:val="00166841"/>
    <w:rsid w:val="00166A99"/>
    <w:rsid w:val="00166CFA"/>
    <w:rsid w:val="0016785D"/>
    <w:rsid w:val="00167CF5"/>
    <w:rsid w:val="00167F0F"/>
    <w:rsid w:val="001700A7"/>
    <w:rsid w:val="00170392"/>
    <w:rsid w:val="00170A20"/>
    <w:rsid w:val="00170B26"/>
    <w:rsid w:val="00170C09"/>
    <w:rsid w:val="00170D2E"/>
    <w:rsid w:val="001713FA"/>
    <w:rsid w:val="00171E32"/>
    <w:rsid w:val="00172D07"/>
    <w:rsid w:val="00173150"/>
    <w:rsid w:val="00173579"/>
    <w:rsid w:val="00173A8A"/>
    <w:rsid w:val="0017408F"/>
    <w:rsid w:val="00174A5C"/>
    <w:rsid w:val="00174BCE"/>
    <w:rsid w:val="00175057"/>
    <w:rsid w:val="001754CA"/>
    <w:rsid w:val="0017585A"/>
    <w:rsid w:val="00176179"/>
    <w:rsid w:val="001764B3"/>
    <w:rsid w:val="00176C94"/>
    <w:rsid w:val="00176E7A"/>
    <w:rsid w:val="00177217"/>
    <w:rsid w:val="001774BA"/>
    <w:rsid w:val="00177579"/>
    <w:rsid w:val="00177BE6"/>
    <w:rsid w:val="00177CFD"/>
    <w:rsid w:val="001801A7"/>
    <w:rsid w:val="0018057A"/>
    <w:rsid w:val="001806AE"/>
    <w:rsid w:val="00180CEF"/>
    <w:rsid w:val="00181080"/>
    <w:rsid w:val="001812C9"/>
    <w:rsid w:val="001813CD"/>
    <w:rsid w:val="0018166C"/>
    <w:rsid w:val="001820F5"/>
    <w:rsid w:val="0018237E"/>
    <w:rsid w:val="00182605"/>
    <w:rsid w:val="0018293F"/>
    <w:rsid w:val="00182985"/>
    <w:rsid w:val="00182D15"/>
    <w:rsid w:val="00183755"/>
    <w:rsid w:val="001851AF"/>
    <w:rsid w:val="00185315"/>
    <w:rsid w:val="001856BD"/>
    <w:rsid w:val="00185CD4"/>
    <w:rsid w:val="00187985"/>
    <w:rsid w:val="00187996"/>
    <w:rsid w:val="001879BF"/>
    <w:rsid w:val="00187D4C"/>
    <w:rsid w:val="001900C6"/>
    <w:rsid w:val="00190A90"/>
    <w:rsid w:val="00190D71"/>
    <w:rsid w:val="001912F6"/>
    <w:rsid w:val="00191806"/>
    <w:rsid w:val="00192374"/>
    <w:rsid w:val="00192435"/>
    <w:rsid w:val="00192475"/>
    <w:rsid w:val="00192DD4"/>
    <w:rsid w:val="00193874"/>
    <w:rsid w:val="00193C4D"/>
    <w:rsid w:val="00193F7D"/>
    <w:rsid w:val="001941C9"/>
    <w:rsid w:val="00194850"/>
    <w:rsid w:val="00194E21"/>
    <w:rsid w:val="00194F19"/>
    <w:rsid w:val="00194FF0"/>
    <w:rsid w:val="00195178"/>
    <w:rsid w:val="00195675"/>
    <w:rsid w:val="00195A4A"/>
    <w:rsid w:val="00195C9A"/>
    <w:rsid w:val="00196358"/>
    <w:rsid w:val="001963CB"/>
    <w:rsid w:val="00196CDC"/>
    <w:rsid w:val="00197703"/>
    <w:rsid w:val="001A001A"/>
    <w:rsid w:val="001A03B2"/>
    <w:rsid w:val="001A1458"/>
    <w:rsid w:val="001A1BDC"/>
    <w:rsid w:val="001A1C16"/>
    <w:rsid w:val="001A244E"/>
    <w:rsid w:val="001A2735"/>
    <w:rsid w:val="001A2B5E"/>
    <w:rsid w:val="001A35E0"/>
    <w:rsid w:val="001A4009"/>
    <w:rsid w:val="001A4228"/>
    <w:rsid w:val="001A4792"/>
    <w:rsid w:val="001A50B0"/>
    <w:rsid w:val="001A5D06"/>
    <w:rsid w:val="001A6033"/>
    <w:rsid w:val="001A6552"/>
    <w:rsid w:val="001A6CF8"/>
    <w:rsid w:val="001A79DA"/>
    <w:rsid w:val="001B01FE"/>
    <w:rsid w:val="001B0361"/>
    <w:rsid w:val="001B04B5"/>
    <w:rsid w:val="001B0786"/>
    <w:rsid w:val="001B09AF"/>
    <w:rsid w:val="001B0B3B"/>
    <w:rsid w:val="001B10A1"/>
    <w:rsid w:val="001B10A4"/>
    <w:rsid w:val="001B1632"/>
    <w:rsid w:val="001B1C8D"/>
    <w:rsid w:val="001B205E"/>
    <w:rsid w:val="001B2745"/>
    <w:rsid w:val="001B3668"/>
    <w:rsid w:val="001B3A2E"/>
    <w:rsid w:val="001B3ACE"/>
    <w:rsid w:val="001B3D0D"/>
    <w:rsid w:val="001B42CA"/>
    <w:rsid w:val="001B4665"/>
    <w:rsid w:val="001B4A57"/>
    <w:rsid w:val="001B5B21"/>
    <w:rsid w:val="001B5E22"/>
    <w:rsid w:val="001B5EC0"/>
    <w:rsid w:val="001B62EA"/>
    <w:rsid w:val="001B671B"/>
    <w:rsid w:val="001B68E6"/>
    <w:rsid w:val="001B693B"/>
    <w:rsid w:val="001B71F9"/>
    <w:rsid w:val="001B780F"/>
    <w:rsid w:val="001B7A21"/>
    <w:rsid w:val="001B7B18"/>
    <w:rsid w:val="001B7B55"/>
    <w:rsid w:val="001B7D3B"/>
    <w:rsid w:val="001C0057"/>
    <w:rsid w:val="001C0094"/>
    <w:rsid w:val="001C0380"/>
    <w:rsid w:val="001C11E5"/>
    <w:rsid w:val="001C133F"/>
    <w:rsid w:val="001C1563"/>
    <w:rsid w:val="001C1649"/>
    <w:rsid w:val="001C18B0"/>
    <w:rsid w:val="001C1D8F"/>
    <w:rsid w:val="001C21C7"/>
    <w:rsid w:val="001C37E6"/>
    <w:rsid w:val="001C3A47"/>
    <w:rsid w:val="001C3B01"/>
    <w:rsid w:val="001C3B1F"/>
    <w:rsid w:val="001C43B8"/>
    <w:rsid w:val="001C4D55"/>
    <w:rsid w:val="001C4E2D"/>
    <w:rsid w:val="001C5706"/>
    <w:rsid w:val="001C5A15"/>
    <w:rsid w:val="001C619C"/>
    <w:rsid w:val="001C69A5"/>
    <w:rsid w:val="001C7672"/>
    <w:rsid w:val="001D0149"/>
    <w:rsid w:val="001D0832"/>
    <w:rsid w:val="001D126A"/>
    <w:rsid w:val="001D1AE8"/>
    <w:rsid w:val="001D26C9"/>
    <w:rsid w:val="001D2832"/>
    <w:rsid w:val="001D2932"/>
    <w:rsid w:val="001D29F2"/>
    <w:rsid w:val="001D2D5E"/>
    <w:rsid w:val="001D42BE"/>
    <w:rsid w:val="001D4B31"/>
    <w:rsid w:val="001D4E92"/>
    <w:rsid w:val="001D4F14"/>
    <w:rsid w:val="001D5008"/>
    <w:rsid w:val="001D508A"/>
    <w:rsid w:val="001D51BD"/>
    <w:rsid w:val="001D58A5"/>
    <w:rsid w:val="001D5D9D"/>
    <w:rsid w:val="001D5E94"/>
    <w:rsid w:val="001D5F73"/>
    <w:rsid w:val="001D5FE1"/>
    <w:rsid w:val="001D6628"/>
    <w:rsid w:val="001D6F3D"/>
    <w:rsid w:val="001D71D4"/>
    <w:rsid w:val="001D7241"/>
    <w:rsid w:val="001D7642"/>
    <w:rsid w:val="001D7BFE"/>
    <w:rsid w:val="001D7F64"/>
    <w:rsid w:val="001D7FBB"/>
    <w:rsid w:val="001E03A2"/>
    <w:rsid w:val="001E09DF"/>
    <w:rsid w:val="001E0A63"/>
    <w:rsid w:val="001E1D1E"/>
    <w:rsid w:val="001E3408"/>
    <w:rsid w:val="001E48C0"/>
    <w:rsid w:val="001E533F"/>
    <w:rsid w:val="001E5544"/>
    <w:rsid w:val="001E58B8"/>
    <w:rsid w:val="001E5C01"/>
    <w:rsid w:val="001E5C16"/>
    <w:rsid w:val="001E6310"/>
    <w:rsid w:val="001E6445"/>
    <w:rsid w:val="001E7071"/>
    <w:rsid w:val="001E71BA"/>
    <w:rsid w:val="001E773F"/>
    <w:rsid w:val="001E7B17"/>
    <w:rsid w:val="001F0396"/>
    <w:rsid w:val="001F0735"/>
    <w:rsid w:val="001F0921"/>
    <w:rsid w:val="001F0EC0"/>
    <w:rsid w:val="001F1215"/>
    <w:rsid w:val="001F128D"/>
    <w:rsid w:val="001F1BA8"/>
    <w:rsid w:val="001F1BB9"/>
    <w:rsid w:val="001F22EC"/>
    <w:rsid w:val="001F2C0B"/>
    <w:rsid w:val="001F2D5D"/>
    <w:rsid w:val="001F3170"/>
    <w:rsid w:val="001F3C17"/>
    <w:rsid w:val="001F414A"/>
    <w:rsid w:val="001F4287"/>
    <w:rsid w:val="001F48CF"/>
    <w:rsid w:val="001F551B"/>
    <w:rsid w:val="001F569F"/>
    <w:rsid w:val="001F5846"/>
    <w:rsid w:val="001F5A96"/>
    <w:rsid w:val="001F5DD4"/>
    <w:rsid w:val="001F61A3"/>
    <w:rsid w:val="001F72FE"/>
    <w:rsid w:val="001F7578"/>
    <w:rsid w:val="001F75D0"/>
    <w:rsid w:val="001F784D"/>
    <w:rsid w:val="001F7A76"/>
    <w:rsid w:val="002008CA"/>
    <w:rsid w:val="00200933"/>
    <w:rsid w:val="00200AE6"/>
    <w:rsid w:val="002016AE"/>
    <w:rsid w:val="002016FD"/>
    <w:rsid w:val="00201796"/>
    <w:rsid w:val="00202A96"/>
    <w:rsid w:val="00202B64"/>
    <w:rsid w:val="002031D9"/>
    <w:rsid w:val="00203939"/>
    <w:rsid w:val="002049C1"/>
    <w:rsid w:val="00204BDA"/>
    <w:rsid w:val="002051EF"/>
    <w:rsid w:val="0020558E"/>
    <w:rsid w:val="002057E8"/>
    <w:rsid w:val="00205B74"/>
    <w:rsid w:val="00205FCB"/>
    <w:rsid w:val="00206826"/>
    <w:rsid w:val="002068CA"/>
    <w:rsid w:val="00206B89"/>
    <w:rsid w:val="00206C80"/>
    <w:rsid w:val="00206D2B"/>
    <w:rsid w:val="00207C6B"/>
    <w:rsid w:val="00207EC1"/>
    <w:rsid w:val="00207FE9"/>
    <w:rsid w:val="0021085B"/>
    <w:rsid w:val="00210B1D"/>
    <w:rsid w:val="0021128A"/>
    <w:rsid w:val="00211465"/>
    <w:rsid w:val="0021167E"/>
    <w:rsid w:val="002122C9"/>
    <w:rsid w:val="00212354"/>
    <w:rsid w:val="00212639"/>
    <w:rsid w:val="00212656"/>
    <w:rsid w:val="00212CC7"/>
    <w:rsid w:val="00212EBD"/>
    <w:rsid w:val="00212ED4"/>
    <w:rsid w:val="002131D7"/>
    <w:rsid w:val="002131FA"/>
    <w:rsid w:val="0021390C"/>
    <w:rsid w:val="00214611"/>
    <w:rsid w:val="00214A16"/>
    <w:rsid w:val="00214C18"/>
    <w:rsid w:val="00214C79"/>
    <w:rsid w:val="002151EC"/>
    <w:rsid w:val="002153A6"/>
    <w:rsid w:val="00215DB6"/>
    <w:rsid w:val="00215EF1"/>
    <w:rsid w:val="00215F15"/>
    <w:rsid w:val="0021630F"/>
    <w:rsid w:val="0021690A"/>
    <w:rsid w:val="00216B20"/>
    <w:rsid w:val="00216BDE"/>
    <w:rsid w:val="00216DBC"/>
    <w:rsid w:val="00216EA1"/>
    <w:rsid w:val="00216F33"/>
    <w:rsid w:val="002176C5"/>
    <w:rsid w:val="00217D30"/>
    <w:rsid w:val="00217E85"/>
    <w:rsid w:val="00220117"/>
    <w:rsid w:val="00220B7A"/>
    <w:rsid w:val="00220FDF"/>
    <w:rsid w:val="0022119A"/>
    <w:rsid w:val="0022213B"/>
    <w:rsid w:val="0022261F"/>
    <w:rsid w:val="00222A74"/>
    <w:rsid w:val="00222DDC"/>
    <w:rsid w:val="0022346B"/>
    <w:rsid w:val="002236A0"/>
    <w:rsid w:val="00223C2C"/>
    <w:rsid w:val="00223E1B"/>
    <w:rsid w:val="0022401B"/>
    <w:rsid w:val="0022551F"/>
    <w:rsid w:val="00225CE0"/>
    <w:rsid w:val="002263FA"/>
    <w:rsid w:val="00226A7B"/>
    <w:rsid w:val="0022735F"/>
    <w:rsid w:val="002273A0"/>
    <w:rsid w:val="00227964"/>
    <w:rsid w:val="00230999"/>
    <w:rsid w:val="00230C66"/>
    <w:rsid w:val="00230DF5"/>
    <w:rsid w:val="0023101B"/>
    <w:rsid w:val="0023140C"/>
    <w:rsid w:val="00231774"/>
    <w:rsid w:val="00231C09"/>
    <w:rsid w:val="00232967"/>
    <w:rsid w:val="00232B02"/>
    <w:rsid w:val="0023305C"/>
    <w:rsid w:val="00234414"/>
    <w:rsid w:val="00234AC1"/>
    <w:rsid w:val="0023510E"/>
    <w:rsid w:val="002358D3"/>
    <w:rsid w:val="00235A11"/>
    <w:rsid w:val="00236A86"/>
    <w:rsid w:val="002371A1"/>
    <w:rsid w:val="002373C0"/>
    <w:rsid w:val="002375B4"/>
    <w:rsid w:val="002375DE"/>
    <w:rsid w:val="00237BD3"/>
    <w:rsid w:val="00237D03"/>
    <w:rsid w:val="00240A35"/>
    <w:rsid w:val="00240FE2"/>
    <w:rsid w:val="00240FF4"/>
    <w:rsid w:val="0024116F"/>
    <w:rsid w:val="00241434"/>
    <w:rsid w:val="002414AD"/>
    <w:rsid w:val="002415E0"/>
    <w:rsid w:val="00241C16"/>
    <w:rsid w:val="002422E4"/>
    <w:rsid w:val="002429B8"/>
    <w:rsid w:val="0024309E"/>
    <w:rsid w:val="0024319A"/>
    <w:rsid w:val="0024355C"/>
    <w:rsid w:val="002440D4"/>
    <w:rsid w:val="0024529A"/>
    <w:rsid w:val="00245CA6"/>
    <w:rsid w:val="0024607F"/>
    <w:rsid w:val="002463C4"/>
    <w:rsid w:val="002467B2"/>
    <w:rsid w:val="00246956"/>
    <w:rsid w:val="00246B5B"/>
    <w:rsid w:val="00246DE9"/>
    <w:rsid w:val="0024758D"/>
    <w:rsid w:val="00247654"/>
    <w:rsid w:val="00250CF0"/>
    <w:rsid w:val="00250E80"/>
    <w:rsid w:val="00251310"/>
    <w:rsid w:val="002513B4"/>
    <w:rsid w:val="00251670"/>
    <w:rsid w:val="00251967"/>
    <w:rsid w:val="00251B53"/>
    <w:rsid w:val="00251E26"/>
    <w:rsid w:val="00252326"/>
    <w:rsid w:val="00252801"/>
    <w:rsid w:val="00253942"/>
    <w:rsid w:val="00253969"/>
    <w:rsid w:val="002544F5"/>
    <w:rsid w:val="00254513"/>
    <w:rsid w:val="0025475B"/>
    <w:rsid w:val="00254CEF"/>
    <w:rsid w:val="0025578F"/>
    <w:rsid w:val="00256693"/>
    <w:rsid w:val="0025673E"/>
    <w:rsid w:val="00256DC2"/>
    <w:rsid w:val="002572FB"/>
    <w:rsid w:val="00257C6A"/>
    <w:rsid w:val="002601B7"/>
    <w:rsid w:val="002603B3"/>
    <w:rsid w:val="0026068A"/>
    <w:rsid w:val="00260790"/>
    <w:rsid w:val="00260A12"/>
    <w:rsid w:val="00260BC4"/>
    <w:rsid w:val="00260D48"/>
    <w:rsid w:val="00260E14"/>
    <w:rsid w:val="002610AC"/>
    <w:rsid w:val="0026171E"/>
    <w:rsid w:val="00261B6C"/>
    <w:rsid w:val="00261D65"/>
    <w:rsid w:val="00262044"/>
    <w:rsid w:val="002622D2"/>
    <w:rsid w:val="00262F7F"/>
    <w:rsid w:val="00263591"/>
    <w:rsid w:val="00263CD2"/>
    <w:rsid w:val="00264198"/>
    <w:rsid w:val="002652D4"/>
    <w:rsid w:val="002657E0"/>
    <w:rsid w:val="00266BBC"/>
    <w:rsid w:val="00266D97"/>
    <w:rsid w:val="002675A7"/>
    <w:rsid w:val="0026787D"/>
    <w:rsid w:val="00267BD0"/>
    <w:rsid w:val="00267DA2"/>
    <w:rsid w:val="00270350"/>
    <w:rsid w:val="00270735"/>
    <w:rsid w:val="00270F66"/>
    <w:rsid w:val="002710EE"/>
    <w:rsid w:val="00271183"/>
    <w:rsid w:val="00271AC6"/>
    <w:rsid w:val="00271C90"/>
    <w:rsid w:val="00271CA5"/>
    <w:rsid w:val="002721FE"/>
    <w:rsid w:val="002726D1"/>
    <w:rsid w:val="00272EF5"/>
    <w:rsid w:val="002733C1"/>
    <w:rsid w:val="002734F5"/>
    <w:rsid w:val="002749C3"/>
    <w:rsid w:val="002749C5"/>
    <w:rsid w:val="00274FE9"/>
    <w:rsid w:val="00275138"/>
    <w:rsid w:val="0027561F"/>
    <w:rsid w:val="0027577A"/>
    <w:rsid w:val="002759C2"/>
    <w:rsid w:val="002762B6"/>
    <w:rsid w:val="0027641C"/>
    <w:rsid w:val="002773FD"/>
    <w:rsid w:val="00277F70"/>
    <w:rsid w:val="002800E9"/>
    <w:rsid w:val="0028013F"/>
    <w:rsid w:val="002811CD"/>
    <w:rsid w:val="002811FF"/>
    <w:rsid w:val="00281707"/>
    <w:rsid w:val="0028179F"/>
    <w:rsid w:val="00281F66"/>
    <w:rsid w:val="00282EF1"/>
    <w:rsid w:val="002830B5"/>
    <w:rsid w:val="00283815"/>
    <w:rsid w:val="0028393F"/>
    <w:rsid w:val="00284465"/>
    <w:rsid w:val="0028499F"/>
    <w:rsid w:val="00284CBC"/>
    <w:rsid w:val="00284EAE"/>
    <w:rsid w:val="0028509C"/>
    <w:rsid w:val="002856FB"/>
    <w:rsid w:val="00285868"/>
    <w:rsid w:val="002859ED"/>
    <w:rsid w:val="00285ABF"/>
    <w:rsid w:val="00285B0D"/>
    <w:rsid w:val="00285BF8"/>
    <w:rsid w:val="00285CA3"/>
    <w:rsid w:val="00285E0D"/>
    <w:rsid w:val="00285F9D"/>
    <w:rsid w:val="00286525"/>
    <w:rsid w:val="00286546"/>
    <w:rsid w:val="00286BDA"/>
    <w:rsid w:val="00286FB6"/>
    <w:rsid w:val="00287499"/>
    <w:rsid w:val="00290392"/>
    <w:rsid w:val="00290807"/>
    <w:rsid w:val="002908A2"/>
    <w:rsid w:val="00290BA6"/>
    <w:rsid w:val="002910CB"/>
    <w:rsid w:val="002913DF"/>
    <w:rsid w:val="002924DA"/>
    <w:rsid w:val="00292F8C"/>
    <w:rsid w:val="00292FAB"/>
    <w:rsid w:val="002932F7"/>
    <w:rsid w:val="00293D84"/>
    <w:rsid w:val="00294D12"/>
    <w:rsid w:val="00295705"/>
    <w:rsid w:val="00295718"/>
    <w:rsid w:val="002958AD"/>
    <w:rsid w:val="00295D81"/>
    <w:rsid w:val="0029668C"/>
    <w:rsid w:val="002966C5"/>
    <w:rsid w:val="00296C1F"/>
    <w:rsid w:val="00296F91"/>
    <w:rsid w:val="00297380"/>
    <w:rsid w:val="0029747A"/>
    <w:rsid w:val="002A018D"/>
    <w:rsid w:val="002A0904"/>
    <w:rsid w:val="002A0A12"/>
    <w:rsid w:val="002A1483"/>
    <w:rsid w:val="002A16FC"/>
    <w:rsid w:val="002A1768"/>
    <w:rsid w:val="002A19DF"/>
    <w:rsid w:val="002A1C7C"/>
    <w:rsid w:val="002A1D01"/>
    <w:rsid w:val="002A1DEF"/>
    <w:rsid w:val="002A1FCC"/>
    <w:rsid w:val="002A20B5"/>
    <w:rsid w:val="002A20C0"/>
    <w:rsid w:val="002A277E"/>
    <w:rsid w:val="002A27EE"/>
    <w:rsid w:val="002A2CDE"/>
    <w:rsid w:val="002A2FDE"/>
    <w:rsid w:val="002A30ED"/>
    <w:rsid w:val="002A344F"/>
    <w:rsid w:val="002A3835"/>
    <w:rsid w:val="002A483C"/>
    <w:rsid w:val="002A4A9F"/>
    <w:rsid w:val="002A4E00"/>
    <w:rsid w:val="002A5139"/>
    <w:rsid w:val="002A55A1"/>
    <w:rsid w:val="002A568B"/>
    <w:rsid w:val="002A5758"/>
    <w:rsid w:val="002A595F"/>
    <w:rsid w:val="002A598C"/>
    <w:rsid w:val="002A5B41"/>
    <w:rsid w:val="002A5CC1"/>
    <w:rsid w:val="002A6187"/>
    <w:rsid w:val="002A6258"/>
    <w:rsid w:val="002A6A6F"/>
    <w:rsid w:val="002A6D74"/>
    <w:rsid w:val="002A7369"/>
    <w:rsid w:val="002B18B3"/>
    <w:rsid w:val="002B1901"/>
    <w:rsid w:val="002B1C98"/>
    <w:rsid w:val="002B2520"/>
    <w:rsid w:val="002B2803"/>
    <w:rsid w:val="002B2A13"/>
    <w:rsid w:val="002B2C30"/>
    <w:rsid w:val="002B2D8B"/>
    <w:rsid w:val="002B2FA9"/>
    <w:rsid w:val="002B312A"/>
    <w:rsid w:val="002B3425"/>
    <w:rsid w:val="002B3591"/>
    <w:rsid w:val="002B3773"/>
    <w:rsid w:val="002B3A7D"/>
    <w:rsid w:val="002B3DAE"/>
    <w:rsid w:val="002B3F98"/>
    <w:rsid w:val="002B5077"/>
    <w:rsid w:val="002B52B7"/>
    <w:rsid w:val="002B588C"/>
    <w:rsid w:val="002B5E98"/>
    <w:rsid w:val="002B628C"/>
    <w:rsid w:val="002B67C5"/>
    <w:rsid w:val="002B6D93"/>
    <w:rsid w:val="002B777D"/>
    <w:rsid w:val="002B7C74"/>
    <w:rsid w:val="002B7F08"/>
    <w:rsid w:val="002C01A0"/>
    <w:rsid w:val="002C0633"/>
    <w:rsid w:val="002C066E"/>
    <w:rsid w:val="002C0A56"/>
    <w:rsid w:val="002C1965"/>
    <w:rsid w:val="002C2185"/>
    <w:rsid w:val="002C2219"/>
    <w:rsid w:val="002C256C"/>
    <w:rsid w:val="002C2B23"/>
    <w:rsid w:val="002C2DF7"/>
    <w:rsid w:val="002C3544"/>
    <w:rsid w:val="002C36BA"/>
    <w:rsid w:val="002C37E8"/>
    <w:rsid w:val="002C3910"/>
    <w:rsid w:val="002C438B"/>
    <w:rsid w:val="002C57DA"/>
    <w:rsid w:val="002C5A2E"/>
    <w:rsid w:val="002D002A"/>
    <w:rsid w:val="002D071F"/>
    <w:rsid w:val="002D0749"/>
    <w:rsid w:val="002D0B59"/>
    <w:rsid w:val="002D200E"/>
    <w:rsid w:val="002D230D"/>
    <w:rsid w:val="002D29CE"/>
    <w:rsid w:val="002D2D07"/>
    <w:rsid w:val="002D2EBF"/>
    <w:rsid w:val="002D4346"/>
    <w:rsid w:val="002D4F4F"/>
    <w:rsid w:val="002D5716"/>
    <w:rsid w:val="002D58C0"/>
    <w:rsid w:val="002D5A0A"/>
    <w:rsid w:val="002D5ED9"/>
    <w:rsid w:val="002D5F04"/>
    <w:rsid w:val="002D63B3"/>
    <w:rsid w:val="002D6503"/>
    <w:rsid w:val="002D665E"/>
    <w:rsid w:val="002D6C3B"/>
    <w:rsid w:val="002D6EA6"/>
    <w:rsid w:val="002D7500"/>
    <w:rsid w:val="002D7B0C"/>
    <w:rsid w:val="002D7EC6"/>
    <w:rsid w:val="002E01D7"/>
    <w:rsid w:val="002E02A9"/>
    <w:rsid w:val="002E058D"/>
    <w:rsid w:val="002E10D1"/>
    <w:rsid w:val="002E1E55"/>
    <w:rsid w:val="002E232A"/>
    <w:rsid w:val="002E2B2C"/>
    <w:rsid w:val="002E2E7A"/>
    <w:rsid w:val="002E30BE"/>
    <w:rsid w:val="002E3122"/>
    <w:rsid w:val="002E32B2"/>
    <w:rsid w:val="002E32E9"/>
    <w:rsid w:val="002E3315"/>
    <w:rsid w:val="002E343C"/>
    <w:rsid w:val="002E37F9"/>
    <w:rsid w:val="002E390B"/>
    <w:rsid w:val="002E3948"/>
    <w:rsid w:val="002E4317"/>
    <w:rsid w:val="002E43CE"/>
    <w:rsid w:val="002E457F"/>
    <w:rsid w:val="002E4B6A"/>
    <w:rsid w:val="002E4F80"/>
    <w:rsid w:val="002E6155"/>
    <w:rsid w:val="002E671F"/>
    <w:rsid w:val="002E68FB"/>
    <w:rsid w:val="002E6925"/>
    <w:rsid w:val="002E7579"/>
    <w:rsid w:val="002F016B"/>
    <w:rsid w:val="002F0369"/>
    <w:rsid w:val="002F091E"/>
    <w:rsid w:val="002F0F18"/>
    <w:rsid w:val="002F1A4D"/>
    <w:rsid w:val="002F1AC3"/>
    <w:rsid w:val="002F1D0E"/>
    <w:rsid w:val="002F29F8"/>
    <w:rsid w:val="002F2B3B"/>
    <w:rsid w:val="002F2CD0"/>
    <w:rsid w:val="002F3842"/>
    <w:rsid w:val="002F3923"/>
    <w:rsid w:val="002F3C8E"/>
    <w:rsid w:val="002F412C"/>
    <w:rsid w:val="002F45D5"/>
    <w:rsid w:val="002F4F23"/>
    <w:rsid w:val="002F550A"/>
    <w:rsid w:val="002F5602"/>
    <w:rsid w:val="002F579D"/>
    <w:rsid w:val="002F57A6"/>
    <w:rsid w:val="002F5977"/>
    <w:rsid w:val="002F5D84"/>
    <w:rsid w:val="002F66E7"/>
    <w:rsid w:val="002F6B8C"/>
    <w:rsid w:val="002F6E89"/>
    <w:rsid w:val="00300CD3"/>
    <w:rsid w:val="00301384"/>
    <w:rsid w:val="00301423"/>
    <w:rsid w:val="00301A8D"/>
    <w:rsid w:val="00302149"/>
    <w:rsid w:val="00302977"/>
    <w:rsid w:val="00302A7C"/>
    <w:rsid w:val="00302E0E"/>
    <w:rsid w:val="0030359D"/>
    <w:rsid w:val="00303BD8"/>
    <w:rsid w:val="00303BEF"/>
    <w:rsid w:val="003042A5"/>
    <w:rsid w:val="003047AD"/>
    <w:rsid w:val="003048EC"/>
    <w:rsid w:val="00304908"/>
    <w:rsid w:val="00305597"/>
    <w:rsid w:val="00305706"/>
    <w:rsid w:val="00305894"/>
    <w:rsid w:val="00305958"/>
    <w:rsid w:val="00305F98"/>
    <w:rsid w:val="003063A4"/>
    <w:rsid w:val="003064FC"/>
    <w:rsid w:val="003068AB"/>
    <w:rsid w:val="00306C6B"/>
    <w:rsid w:val="00306ECD"/>
    <w:rsid w:val="0030732D"/>
    <w:rsid w:val="00307A50"/>
    <w:rsid w:val="00307C40"/>
    <w:rsid w:val="003113C6"/>
    <w:rsid w:val="003118D1"/>
    <w:rsid w:val="00311945"/>
    <w:rsid w:val="00311B6B"/>
    <w:rsid w:val="003126AE"/>
    <w:rsid w:val="003126E6"/>
    <w:rsid w:val="0031313E"/>
    <w:rsid w:val="003139BA"/>
    <w:rsid w:val="00314320"/>
    <w:rsid w:val="00314517"/>
    <w:rsid w:val="00314CA3"/>
    <w:rsid w:val="00314E13"/>
    <w:rsid w:val="0031540E"/>
    <w:rsid w:val="0031557B"/>
    <w:rsid w:val="00315580"/>
    <w:rsid w:val="003157C7"/>
    <w:rsid w:val="00315A6B"/>
    <w:rsid w:val="00315C80"/>
    <w:rsid w:val="0031695D"/>
    <w:rsid w:val="00316D9A"/>
    <w:rsid w:val="00316F9F"/>
    <w:rsid w:val="0031714E"/>
    <w:rsid w:val="00317610"/>
    <w:rsid w:val="003179F5"/>
    <w:rsid w:val="00320699"/>
    <w:rsid w:val="0032102D"/>
    <w:rsid w:val="003213D4"/>
    <w:rsid w:val="0032184F"/>
    <w:rsid w:val="003222FD"/>
    <w:rsid w:val="00322690"/>
    <w:rsid w:val="00322F1D"/>
    <w:rsid w:val="003242E8"/>
    <w:rsid w:val="00324443"/>
    <w:rsid w:val="003247C8"/>
    <w:rsid w:val="00324C74"/>
    <w:rsid w:val="00324E14"/>
    <w:rsid w:val="00325074"/>
    <w:rsid w:val="003264F7"/>
    <w:rsid w:val="00326563"/>
    <w:rsid w:val="00327085"/>
    <w:rsid w:val="003270D8"/>
    <w:rsid w:val="003271A2"/>
    <w:rsid w:val="0032739F"/>
    <w:rsid w:val="0032774D"/>
    <w:rsid w:val="003303AD"/>
    <w:rsid w:val="0033071F"/>
    <w:rsid w:val="003308F6"/>
    <w:rsid w:val="003319E1"/>
    <w:rsid w:val="00331BB3"/>
    <w:rsid w:val="0033242A"/>
    <w:rsid w:val="00332954"/>
    <w:rsid w:val="00332B56"/>
    <w:rsid w:val="003333AC"/>
    <w:rsid w:val="00333675"/>
    <w:rsid w:val="00333CFF"/>
    <w:rsid w:val="00333E17"/>
    <w:rsid w:val="00333EC0"/>
    <w:rsid w:val="00334C80"/>
    <w:rsid w:val="00334F1A"/>
    <w:rsid w:val="003357AB"/>
    <w:rsid w:val="00335C94"/>
    <w:rsid w:val="00335ED9"/>
    <w:rsid w:val="00336032"/>
    <w:rsid w:val="00336874"/>
    <w:rsid w:val="0033690F"/>
    <w:rsid w:val="00337088"/>
    <w:rsid w:val="003376C0"/>
    <w:rsid w:val="00337CC0"/>
    <w:rsid w:val="00340484"/>
    <w:rsid w:val="0034082D"/>
    <w:rsid w:val="00340906"/>
    <w:rsid w:val="00340AAE"/>
    <w:rsid w:val="00341025"/>
    <w:rsid w:val="00341312"/>
    <w:rsid w:val="003419B3"/>
    <w:rsid w:val="00342313"/>
    <w:rsid w:val="0034388C"/>
    <w:rsid w:val="00344E31"/>
    <w:rsid w:val="00345AC1"/>
    <w:rsid w:val="00345D93"/>
    <w:rsid w:val="00346EFB"/>
    <w:rsid w:val="00346FF6"/>
    <w:rsid w:val="003476ED"/>
    <w:rsid w:val="00347AD6"/>
    <w:rsid w:val="00347F03"/>
    <w:rsid w:val="003502A7"/>
    <w:rsid w:val="0035064D"/>
    <w:rsid w:val="00350AA6"/>
    <w:rsid w:val="00350D76"/>
    <w:rsid w:val="003514C0"/>
    <w:rsid w:val="0035151B"/>
    <w:rsid w:val="00352181"/>
    <w:rsid w:val="003525D3"/>
    <w:rsid w:val="00352CEA"/>
    <w:rsid w:val="003533FB"/>
    <w:rsid w:val="00353657"/>
    <w:rsid w:val="003537DD"/>
    <w:rsid w:val="0035406D"/>
    <w:rsid w:val="00354257"/>
    <w:rsid w:val="00354338"/>
    <w:rsid w:val="00354692"/>
    <w:rsid w:val="00354B8A"/>
    <w:rsid w:val="003554D1"/>
    <w:rsid w:val="003557D7"/>
    <w:rsid w:val="00355892"/>
    <w:rsid w:val="00355AD8"/>
    <w:rsid w:val="0035604D"/>
    <w:rsid w:val="00356312"/>
    <w:rsid w:val="00356871"/>
    <w:rsid w:val="003570FE"/>
    <w:rsid w:val="00357282"/>
    <w:rsid w:val="0035794C"/>
    <w:rsid w:val="00357FC2"/>
    <w:rsid w:val="003607A4"/>
    <w:rsid w:val="00360928"/>
    <w:rsid w:val="003611B7"/>
    <w:rsid w:val="003614B0"/>
    <w:rsid w:val="00361BF8"/>
    <w:rsid w:val="003623A2"/>
    <w:rsid w:val="00362C1C"/>
    <w:rsid w:val="00362E08"/>
    <w:rsid w:val="00362EC8"/>
    <w:rsid w:val="00363762"/>
    <w:rsid w:val="0036388B"/>
    <w:rsid w:val="00363F82"/>
    <w:rsid w:val="00364A00"/>
    <w:rsid w:val="0036516B"/>
    <w:rsid w:val="003651F0"/>
    <w:rsid w:val="00365213"/>
    <w:rsid w:val="00365746"/>
    <w:rsid w:val="00366A88"/>
    <w:rsid w:val="00367001"/>
    <w:rsid w:val="003672BD"/>
    <w:rsid w:val="00367611"/>
    <w:rsid w:val="003679D4"/>
    <w:rsid w:val="00367B7D"/>
    <w:rsid w:val="003701A5"/>
    <w:rsid w:val="003706BE"/>
    <w:rsid w:val="0037096D"/>
    <w:rsid w:val="00370972"/>
    <w:rsid w:val="00370B29"/>
    <w:rsid w:val="00370BD7"/>
    <w:rsid w:val="00370FCB"/>
    <w:rsid w:val="003712F0"/>
    <w:rsid w:val="003720E5"/>
    <w:rsid w:val="003729B1"/>
    <w:rsid w:val="0037321F"/>
    <w:rsid w:val="003735D5"/>
    <w:rsid w:val="003736A6"/>
    <w:rsid w:val="003740E5"/>
    <w:rsid w:val="00374470"/>
    <w:rsid w:val="003746FC"/>
    <w:rsid w:val="003757F8"/>
    <w:rsid w:val="00376AC0"/>
    <w:rsid w:val="00376B10"/>
    <w:rsid w:val="003802C5"/>
    <w:rsid w:val="00380A5B"/>
    <w:rsid w:val="00380B9B"/>
    <w:rsid w:val="003813EF"/>
    <w:rsid w:val="0038204A"/>
    <w:rsid w:val="00382073"/>
    <w:rsid w:val="003828DE"/>
    <w:rsid w:val="003829DC"/>
    <w:rsid w:val="003835A5"/>
    <w:rsid w:val="00383CAA"/>
    <w:rsid w:val="00384C53"/>
    <w:rsid w:val="003854B5"/>
    <w:rsid w:val="003854E6"/>
    <w:rsid w:val="00387713"/>
    <w:rsid w:val="00387872"/>
    <w:rsid w:val="00387F14"/>
    <w:rsid w:val="0039058C"/>
    <w:rsid w:val="0039071F"/>
    <w:rsid w:val="00390810"/>
    <w:rsid w:val="003911BC"/>
    <w:rsid w:val="0039122D"/>
    <w:rsid w:val="00391828"/>
    <w:rsid w:val="00391ABE"/>
    <w:rsid w:val="00392280"/>
    <w:rsid w:val="00393C36"/>
    <w:rsid w:val="00393E36"/>
    <w:rsid w:val="00394039"/>
    <w:rsid w:val="003943C7"/>
    <w:rsid w:val="003946E8"/>
    <w:rsid w:val="003948B8"/>
    <w:rsid w:val="00394C0D"/>
    <w:rsid w:val="00394C2A"/>
    <w:rsid w:val="00394D05"/>
    <w:rsid w:val="00394D43"/>
    <w:rsid w:val="00395255"/>
    <w:rsid w:val="00395335"/>
    <w:rsid w:val="003956FA"/>
    <w:rsid w:val="00395850"/>
    <w:rsid w:val="003960FA"/>
    <w:rsid w:val="003964C0"/>
    <w:rsid w:val="00396B9E"/>
    <w:rsid w:val="00396C02"/>
    <w:rsid w:val="00396F8D"/>
    <w:rsid w:val="003975D1"/>
    <w:rsid w:val="00397B07"/>
    <w:rsid w:val="00397BA9"/>
    <w:rsid w:val="003A00F5"/>
    <w:rsid w:val="003A1502"/>
    <w:rsid w:val="003A1FF0"/>
    <w:rsid w:val="003A252A"/>
    <w:rsid w:val="003A2540"/>
    <w:rsid w:val="003A2661"/>
    <w:rsid w:val="003A26D3"/>
    <w:rsid w:val="003A32DE"/>
    <w:rsid w:val="003A3866"/>
    <w:rsid w:val="003A38E2"/>
    <w:rsid w:val="003A3C10"/>
    <w:rsid w:val="003A43FB"/>
    <w:rsid w:val="003A4A05"/>
    <w:rsid w:val="003A5C3D"/>
    <w:rsid w:val="003A6E7C"/>
    <w:rsid w:val="003A72A6"/>
    <w:rsid w:val="003A72D1"/>
    <w:rsid w:val="003A7938"/>
    <w:rsid w:val="003A79B3"/>
    <w:rsid w:val="003A7B4A"/>
    <w:rsid w:val="003B0140"/>
    <w:rsid w:val="003B033B"/>
    <w:rsid w:val="003B1CDD"/>
    <w:rsid w:val="003B2098"/>
    <w:rsid w:val="003B23F3"/>
    <w:rsid w:val="003B2491"/>
    <w:rsid w:val="003B25A1"/>
    <w:rsid w:val="003B2F66"/>
    <w:rsid w:val="003B31BE"/>
    <w:rsid w:val="003B3204"/>
    <w:rsid w:val="003B3DEC"/>
    <w:rsid w:val="003B3E7B"/>
    <w:rsid w:val="003B41FE"/>
    <w:rsid w:val="003B4662"/>
    <w:rsid w:val="003B4772"/>
    <w:rsid w:val="003B4835"/>
    <w:rsid w:val="003B5247"/>
    <w:rsid w:val="003B5553"/>
    <w:rsid w:val="003B5595"/>
    <w:rsid w:val="003B59B1"/>
    <w:rsid w:val="003B5F63"/>
    <w:rsid w:val="003B663B"/>
    <w:rsid w:val="003B7060"/>
    <w:rsid w:val="003B7527"/>
    <w:rsid w:val="003B7B2B"/>
    <w:rsid w:val="003C20EB"/>
    <w:rsid w:val="003C341C"/>
    <w:rsid w:val="003C3533"/>
    <w:rsid w:val="003C3D1E"/>
    <w:rsid w:val="003C3E0F"/>
    <w:rsid w:val="003C430A"/>
    <w:rsid w:val="003C462F"/>
    <w:rsid w:val="003C492E"/>
    <w:rsid w:val="003C562B"/>
    <w:rsid w:val="003C5CA4"/>
    <w:rsid w:val="003C5E7F"/>
    <w:rsid w:val="003C6965"/>
    <w:rsid w:val="003C698E"/>
    <w:rsid w:val="003C707A"/>
    <w:rsid w:val="003C71CD"/>
    <w:rsid w:val="003C74B3"/>
    <w:rsid w:val="003D0329"/>
    <w:rsid w:val="003D0A05"/>
    <w:rsid w:val="003D138A"/>
    <w:rsid w:val="003D1D69"/>
    <w:rsid w:val="003D2341"/>
    <w:rsid w:val="003D28EE"/>
    <w:rsid w:val="003D407F"/>
    <w:rsid w:val="003D48C4"/>
    <w:rsid w:val="003D48D3"/>
    <w:rsid w:val="003D55A4"/>
    <w:rsid w:val="003D63D6"/>
    <w:rsid w:val="003D6492"/>
    <w:rsid w:val="003D66A6"/>
    <w:rsid w:val="003D778C"/>
    <w:rsid w:val="003D7CA1"/>
    <w:rsid w:val="003E01E7"/>
    <w:rsid w:val="003E04BC"/>
    <w:rsid w:val="003E071A"/>
    <w:rsid w:val="003E0F68"/>
    <w:rsid w:val="003E2878"/>
    <w:rsid w:val="003E2975"/>
    <w:rsid w:val="003E2A63"/>
    <w:rsid w:val="003E35E0"/>
    <w:rsid w:val="003E3B02"/>
    <w:rsid w:val="003E3C29"/>
    <w:rsid w:val="003E4BC4"/>
    <w:rsid w:val="003E4E02"/>
    <w:rsid w:val="003E5154"/>
    <w:rsid w:val="003E54B9"/>
    <w:rsid w:val="003E5CF7"/>
    <w:rsid w:val="003E5F05"/>
    <w:rsid w:val="003E64D0"/>
    <w:rsid w:val="003E6F6D"/>
    <w:rsid w:val="003E7377"/>
    <w:rsid w:val="003E73C0"/>
    <w:rsid w:val="003E79E8"/>
    <w:rsid w:val="003F01E7"/>
    <w:rsid w:val="003F0204"/>
    <w:rsid w:val="003F0BF5"/>
    <w:rsid w:val="003F0E6E"/>
    <w:rsid w:val="003F1469"/>
    <w:rsid w:val="003F1A83"/>
    <w:rsid w:val="003F1BEA"/>
    <w:rsid w:val="003F1E94"/>
    <w:rsid w:val="003F28B0"/>
    <w:rsid w:val="003F2981"/>
    <w:rsid w:val="003F2A1D"/>
    <w:rsid w:val="003F3368"/>
    <w:rsid w:val="003F3821"/>
    <w:rsid w:val="003F3B30"/>
    <w:rsid w:val="003F3F77"/>
    <w:rsid w:val="003F451D"/>
    <w:rsid w:val="003F4602"/>
    <w:rsid w:val="003F4672"/>
    <w:rsid w:val="003F4E38"/>
    <w:rsid w:val="003F6078"/>
    <w:rsid w:val="003F6179"/>
    <w:rsid w:val="003F6330"/>
    <w:rsid w:val="003F6D05"/>
    <w:rsid w:val="003F6FF8"/>
    <w:rsid w:val="003F7274"/>
    <w:rsid w:val="003F7758"/>
    <w:rsid w:val="003F7D08"/>
    <w:rsid w:val="003F7FD7"/>
    <w:rsid w:val="00400A5B"/>
    <w:rsid w:val="0040103C"/>
    <w:rsid w:val="00402479"/>
    <w:rsid w:val="00402787"/>
    <w:rsid w:val="00402980"/>
    <w:rsid w:val="00402AB4"/>
    <w:rsid w:val="00403261"/>
    <w:rsid w:val="00403C57"/>
    <w:rsid w:val="00403D7C"/>
    <w:rsid w:val="00403DB5"/>
    <w:rsid w:val="00403E09"/>
    <w:rsid w:val="00403E55"/>
    <w:rsid w:val="0040461D"/>
    <w:rsid w:val="0040555B"/>
    <w:rsid w:val="004056DF"/>
    <w:rsid w:val="00405A8E"/>
    <w:rsid w:val="00405C5A"/>
    <w:rsid w:val="004062FE"/>
    <w:rsid w:val="00406942"/>
    <w:rsid w:val="00406CCF"/>
    <w:rsid w:val="004076A4"/>
    <w:rsid w:val="00407A1E"/>
    <w:rsid w:val="00407C2F"/>
    <w:rsid w:val="00407FF8"/>
    <w:rsid w:val="00410E0E"/>
    <w:rsid w:val="00411C24"/>
    <w:rsid w:val="00411C3F"/>
    <w:rsid w:val="0041271A"/>
    <w:rsid w:val="00412908"/>
    <w:rsid w:val="00412B09"/>
    <w:rsid w:val="00412D16"/>
    <w:rsid w:val="00413144"/>
    <w:rsid w:val="00413172"/>
    <w:rsid w:val="004135B3"/>
    <w:rsid w:val="00413F20"/>
    <w:rsid w:val="00414652"/>
    <w:rsid w:val="00414BB4"/>
    <w:rsid w:val="00414E09"/>
    <w:rsid w:val="00416182"/>
    <w:rsid w:val="00416307"/>
    <w:rsid w:val="00416567"/>
    <w:rsid w:val="004165C8"/>
    <w:rsid w:val="00416C0D"/>
    <w:rsid w:val="00416D00"/>
    <w:rsid w:val="0041702B"/>
    <w:rsid w:val="004176BB"/>
    <w:rsid w:val="00417873"/>
    <w:rsid w:val="004178F5"/>
    <w:rsid w:val="004202F5"/>
    <w:rsid w:val="00420470"/>
    <w:rsid w:val="004208E5"/>
    <w:rsid w:val="004209C0"/>
    <w:rsid w:val="00422959"/>
    <w:rsid w:val="00423103"/>
    <w:rsid w:val="0042365B"/>
    <w:rsid w:val="00423C9A"/>
    <w:rsid w:val="004241A7"/>
    <w:rsid w:val="00424243"/>
    <w:rsid w:val="004242A7"/>
    <w:rsid w:val="00424535"/>
    <w:rsid w:val="00424990"/>
    <w:rsid w:val="0042522A"/>
    <w:rsid w:val="0042527D"/>
    <w:rsid w:val="00426464"/>
    <w:rsid w:val="004266F0"/>
    <w:rsid w:val="00426967"/>
    <w:rsid w:val="00426B92"/>
    <w:rsid w:val="00427C2E"/>
    <w:rsid w:val="004303D5"/>
    <w:rsid w:val="004304F8"/>
    <w:rsid w:val="00430573"/>
    <w:rsid w:val="0043064C"/>
    <w:rsid w:val="00430CE8"/>
    <w:rsid w:val="00431832"/>
    <w:rsid w:val="0043203D"/>
    <w:rsid w:val="0043498E"/>
    <w:rsid w:val="00435044"/>
    <w:rsid w:val="00435E0A"/>
    <w:rsid w:val="004360D4"/>
    <w:rsid w:val="0043639F"/>
    <w:rsid w:val="004366C4"/>
    <w:rsid w:val="0043679E"/>
    <w:rsid w:val="0043692E"/>
    <w:rsid w:val="004369FC"/>
    <w:rsid w:val="00436F9E"/>
    <w:rsid w:val="004370DB"/>
    <w:rsid w:val="0043751A"/>
    <w:rsid w:val="0043772E"/>
    <w:rsid w:val="00437D51"/>
    <w:rsid w:val="004408FC"/>
    <w:rsid w:val="004417CB"/>
    <w:rsid w:val="004417F4"/>
    <w:rsid w:val="00441CC2"/>
    <w:rsid w:val="00441F5B"/>
    <w:rsid w:val="004421D0"/>
    <w:rsid w:val="00443302"/>
    <w:rsid w:val="004437C6"/>
    <w:rsid w:val="004449EF"/>
    <w:rsid w:val="00444A8A"/>
    <w:rsid w:val="00444D31"/>
    <w:rsid w:val="004456F1"/>
    <w:rsid w:val="004459A7"/>
    <w:rsid w:val="00445E9F"/>
    <w:rsid w:val="00445FF5"/>
    <w:rsid w:val="00446211"/>
    <w:rsid w:val="004503CC"/>
    <w:rsid w:val="00450789"/>
    <w:rsid w:val="00450C17"/>
    <w:rsid w:val="00450E98"/>
    <w:rsid w:val="004516A3"/>
    <w:rsid w:val="0045190F"/>
    <w:rsid w:val="004520B5"/>
    <w:rsid w:val="00452253"/>
    <w:rsid w:val="004529E4"/>
    <w:rsid w:val="00452B0A"/>
    <w:rsid w:val="00452DD5"/>
    <w:rsid w:val="0045303A"/>
    <w:rsid w:val="00453CB0"/>
    <w:rsid w:val="00453CF8"/>
    <w:rsid w:val="00454526"/>
    <w:rsid w:val="00455028"/>
    <w:rsid w:val="00455591"/>
    <w:rsid w:val="0045571A"/>
    <w:rsid w:val="0045572A"/>
    <w:rsid w:val="00455805"/>
    <w:rsid w:val="00455984"/>
    <w:rsid w:val="00455D92"/>
    <w:rsid w:val="00455E36"/>
    <w:rsid w:val="004564ED"/>
    <w:rsid w:val="00456C91"/>
    <w:rsid w:val="00457F6D"/>
    <w:rsid w:val="004600FB"/>
    <w:rsid w:val="00460D30"/>
    <w:rsid w:val="004612C8"/>
    <w:rsid w:val="00462566"/>
    <w:rsid w:val="00463CF2"/>
    <w:rsid w:val="00463D8C"/>
    <w:rsid w:val="004646EC"/>
    <w:rsid w:val="00465695"/>
    <w:rsid w:val="00466552"/>
    <w:rsid w:val="00466CEA"/>
    <w:rsid w:val="0046714D"/>
    <w:rsid w:val="004679CA"/>
    <w:rsid w:val="00467D0F"/>
    <w:rsid w:val="0047092E"/>
    <w:rsid w:val="00470A61"/>
    <w:rsid w:val="00470D4E"/>
    <w:rsid w:val="00471473"/>
    <w:rsid w:val="004715E3"/>
    <w:rsid w:val="0047216F"/>
    <w:rsid w:val="004721C3"/>
    <w:rsid w:val="0047229D"/>
    <w:rsid w:val="0047279D"/>
    <w:rsid w:val="00473907"/>
    <w:rsid w:val="00473B38"/>
    <w:rsid w:val="00473BC8"/>
    <w:rsid w:val="00473D79"/>
    <w:rsid w:val="00474468"/>
    <w:rsid w:val="0047489A"/>
    <w:rsid w:val="0047489B"/>
    <w:rsid w:val="00475980"/>
    <w:rsid w:val="004759E0"/>
    <w:rsid w:val="00475C53"/>
    <w:rsid w:val="00476040"/>
    <w:rsid w:val="00476337"/>
    <w:rsid w:val="004766A9"/>
    <w:rsid w:val="00476998"/>
    <w:rsid w:val="00476ED0"/>
    <w:rsid w:val="00477116"/>
    <w:rsid w:val="00477294"/>
    <w:rsid w:val="004773E4"/>
    <w:rsid w:val="004774C5"/>
    <w:rsid w:val="0047777C"/>
    <w:rsid w:val="00477E3F"/>
    <w:rsid w:val="00480698"/>
    <w:rsid w:val="00480B66"/>
    <w:rsid w:val="00480BEE"/>
    <w:rsid w:val="00480CFA"/>
    <w:rsid w:val="00481100"/>
    <w:rsid w:val="00481445"/>
    <w:rsid w:val="00481680"/>
    <w:rsid w:val="004818CE"/>
    <w:rsid w:val="00481E4C"/>
    <w:rsid w:val="00482662"/>
    <w:rsid w:val="00482AD6"/>
    <w:rsid w:val="00484EEF"/>
    <w:rsid w:val="004859A1"/>
    <w:rsid w:val="004859CD"/>
    <w:rsid w:val="004862CC"/>
    <w:rsid w:val="00486912"/>
    <w:rsid w:val="0048709C"/>
    <w:rsid w:val="004870AD"/>
    <w:rsid w:val="004870DE"/>
    <w:rsid w:val="004871E4"/>
    <w:rsid w:val="004872D8"/>
    <w:rsid w:val="00487547"/>
    <w:rsid w:val="004876D3"/>
    <w:rsid w:val="0048787A"/>
    <w:rsid w:val="00487BEF"/>
    <w:rsid w:val="0049086B"/>
    <w:rsid w:val="004908F8"/>
    <w:rsid w:val="004921D0"/>
    <w:rsid w:val="004937C4"/>
    <w:rsid w:val="00494CEF"/>
    <w:rsid w:val="00494E14"/>
    <w:rsid w:val="004952E9"/>
    <w:rsid w:val="00495441"/>
    <w:rsid w:val="004961E4"/>
    <w:rsid w:val="00496207"/>
    <w:rsid w:val="004A0206"/>
    <w:rsid w:val="004A031F"/>
    <w:rsid w:val="004A0848"/>
    <w:rsid w:val="004A08B8"/>
    <w:rsid w:val="004A0A11"/>
    <w:rsid w:val="004A0E83"/>
    <w:rsid w:val="004A138D"/>
    <w:rsid w:val="004A1415"/>
    <w:rsid w:val="004A1C9C"/>
    <w:rsid w:val="004A1EBF"/>
    <w:rsid w:val="004A1FE1"/>
    <w:rsid w:val="004A204F"/>
    <w:rsid w:val="004A21BB"/>
    <w:rsid w:val="004A21D2"/>
    <w:rsid w:val="004A2ADC"/>
    <w:rsid w:val="004A2C90"/>
    <w:rsid w:val="004A2DEF"/>
    <w:rsid w:val="004A33B0"/>
    <w:rsid w:val="004A36E3"/>
    <w:rsid w:val="004A3F3C"/>
    <w:rsid w:val="004A44E5"/>
    <w:rsid w:val="004A4949"/>
    <w:rsid w:val="004A5472"/>
    <w:rsid w:val="004A547E"/>
    <w:rsid w:val="004A5668"/>
    <w:rsid w:val="004A568C"/>
    <w:rsid w:val="004A56A6"/>
    <w:rsid w:val="004A5C41"/>
    <w:rsid w:val="004A5D90"/>
    <w:rsid w:val="004A5E7E"/>
    <w:rsid w:val="004A69ED"/>
    <w:rsid w:val="004B005B"/>
    <w:rsid w:val="004B08B9"/>
    <w:rsid w:val="004B0C0E"/>
    <w:rsid w:val="004B0F8E"/>
    <w:rsid w:val="004B28D1"/>
    <w:rsid w:val="004B2D4F"/>
    <w:rsid w:val="004B35E4"/>
    <w:rsid w:val="004B3740"/>
    <w:rsid w:val="004B3E47"/>
    <w:rsid w:val="004B3E5D"/>
    <w:rsid w:val="004B4268"/>
    <w:rsid w:val="004B46DF"/>
    <w:rsid w:val="004B476B"/>
    <w:rsid w:val="004B4A5A"/>
    <w:rsid w:val="004B4EAB"/>
    <w:rsid w:val="004B4F49"/>
    <w:rsid w:val="004B4FCC"/>
    <w:rsid w:val="004B5008"/>
    <w:rsid w:val="004B5603"/>
    <w:rsid w:val="004B60D9"/>
    <w:rsid w:val="004B60EF"/>
    <w:rsid w:val="004B62B8"/>
    <w:rsid w:val="004B6543"/>
    <w:rsid w:val="004B6847"/>
    <w:rsid w:val="004B6D68"/>
    <w:rsid w:val="004B6D7E"/>
    <w:rsid w:val="004B7094"/>
    <w:rsid w:val="004B740A"/>
    <w:rsid w:val="004B7428"/>
    <w:rsid w:val="004B7702"/>
    <w:rsid w:val="004B7F58"/>
    <w:rsid w:val="004C0658"/>
    <w:rsid w:val="004C0B55"/>
    <w:rsid w:val="004C0BE2"/>
    <w:rsid w:val="004C0F0A"/>
    <w:rsid w:val="004C2559"/>
    <w:rsid w:val="004C3113"/>
    <w:rsid w:val="004C3791"/>
    <w:rsid w:val="004C3C87"/>
    <w:rsid w:val="004C40EF"/>
    <w:rsid w:val="004C417A"/>
    <w:rsid w:val="004C526B"/>
    <w:rsid w:val="004C5303"/>
    <w:rsid w:val="004C631F"/>
    <w:rsid w:val="004C65F5"/>
    <w:rsid w:val="004C6E07"/>
    <w:rsid w:val="004C7060"/>
    <w:rsid w:val="004C741F"/>
    <w:rsid w:val="004C7504"/>
    <w:rsid w:val="004C7D82"/>
    <w:rsid w:val="004D08ED"/>
    <w:rsid w:val="004D0DB4"/>
    <w:rsid w:val="004D103A"/>
    <w:rsid w:val="004D19B8"/>
    <w:rsid w:val="004D1C2C"/>
    <w:rsid w:val="004D2361"/>
    <w:rsid w:val="004D28C0"/>
    <w:rsid w:val="004D4116"/>
    <w:rsid w:val="004D4714"/>
    <w:rsid w:val="004D5E4C"/>
    <w:rsid w:val="004D5FB0"/>
    <w:rsid w:val="004D6518"/>
    <w:rsid w:val="004D6ACA"/>
    <w:rsid w:val="004D755A"/>
    <w:rsid w:val="004D797F"/>
    <w:rsid w:val="004D7BA7"/>
    <w:rsid w:val="004D7DAD"/>
    <w:rsid w:val="004E0283"/>
    <w:rsid w:val="004E0415"/>
    <w:rsid w:val="004E07B9"/>
    <w:rsid w:val="004E12A2"/>
    <w:rsid w:val="004E1DDC"/>
    <w:rsid w:val="004E1DF2"/>
    <w:rsid w:val="004E2F88"/>
    <w:rsid w:val="004E3344"/>
    <w:rsid w:val="004E347D"/>
    <w:rsid w:val="004E3484"/>
    <w:rsid w:val="004E34DE"/>
    <w:rsid w:val="004E395C"/>
    <w:rsid w:val="004E3CC1"/>
    <w:rsid w:val="004E3ED5"/>
    <w:rsid w:val="004E3F4D"/>
    <w:rsid w:val="004E3F94"/>
    <w:rsid w:val="004E3FB3"/>
    <w:rsid w:val="004E46CC"/>
    <w:rsid w:val="004E4B7A"/>
    <w:rsid w:val="004E551E"/>
    <w:rsid w:val="004E56C6"/>
    <w:rsid w:val="004E5D2E"/>
    <w:rsid w:val="004E6C73"/>
    <w:rsid w:val="004E6F60"/>
    <w:rsid w:val="004E74FE"/>
    <w:rsid w:val="004E7B11"/>
    <w:rsid w:val="004E7E28"/>
    <w:rsid w:val="004F0C18"/>
    <w:rsid w:val="004F0E04"/>
    <w:rsid w:val="004F1566"/>
    <w:rsid w:val="004F1DFB"/>
    <w:rsid w:val="004F1EAC"/>
    <w:rsid w:val="004F1FC0"/>
    <w:rsid w:val="004F2963"/>
    <w:rsid w:val="004F2E7C"/>
    <w:rsid w:val="004F38E3"/>
    <w:rsid w:val="004F39B9"/>
    <w:rsid w:val="004F3F41"/>
    <w:rsid w:val="004F439B"/>
    <w:rsid w:val="004F4885"/>
    <w:rsid w:val="004F5CC3"/>
    <w:rsid w:val="004F5CED"/>
    <w:rsid w:val="004F64BA"/>
    <w:rsid w:val="004F6739"/>
    <w:rsid w:val="004F7865"/>
    <w:rsid w:val="0050086A"/>
    <w:rsid w:val="00500B62"/>
    <w:rsid w:val="00500D9F"/>
    <w:rsid w:val="0050141A"/>
    <w:rsid w:val="005016E9"/>
    <w:rsid w:val="00501A41"/>
    <w:rsid w:val="0050224E"/>
    <w:rsid w:val="00502AD3"/>
    <w:rsid w:val="00503171"/>
    <w:rsid w:val="00503196"/>
    <w:rsid w:val="00503232"/>
    <w:rsid w:val="0050391E"/>
    <w:rsid w:val="00503A92"/>
    <w:rsid w:val="00504AA0"/>
    <w:rsid w:val="00504B4F"/>
    <w:rsid w:val="0050511E"/>
    <w:rsid w:val="0050517B"/>
    <w:rsid w:val="005051A7"/>
    <w:rsid w:val="00505478"/>
    <w:rsid w:val="00505B5E"/>
    <w:rsid w:val="00505C82"/>
    <w:rsid w:val="00506C8D"/>
    <w:rsid w:val="00506ED3"/>
    <w:rsid w:val="0050775E"/>
    <w:rsid w:val="00507915"/>
    <w:rsid w:val="00507A84"/>
    <w:rsid w:val="00507ED9"/>
    <w:rsid w:val="00510044"/>
    <w:rsid w:val="0051138B"/>
    <w:rsid w:val="00511693"/>
    <w:rsid w:val="00511FFC"/>
    <w:rsid w:val="00512C55"/>
    <w:rsid w:val="00512D5C"/>
    <w:rsid w:val="00512EA3"/>
    <w:rsid w:val="00513381"/>
    <w:rsid w:val="00514753"/>
    <w:rsid w:val="00514809"/>
    <w:rsid w:val="00514B40"/>
    <w:rsid w:val="005155C3"/>
    <w:rsid w:val="005157D2"/>
    <w:rsid w:val="00515A01"/>
    <w:rsid w:val="00515DC4"/>
    <w:rsid w:val="0051621D"/>
    <w:rsid w:val="00516374"/>
    <w:rsid w:val="005165D0"/>
    <w:rsid w:val="005167B8"/>
    <w:rsid w:val="005173A4"/>
    <w:rsid w:val="00517576"/>
    <w:rsid w:val="00517680"/>
    <w:rsid w:val="00517A3C"/>
    <w:rsid w:val="005208BC"/>
    <w:rsid w:val="00521447"/>
    <w:rsid w:val="0052259E"/>
    <w:rsid w:val="00522EE4"/>
    <w:rsid w:val="00523888"/>
    <w:rsid w:val="00524099"/>
    <w:rsid w:val="00524221"/>
    <w:rsid w:val="005242FF"/>
    <w:rsid w:val="005243B8"/>
    <w:rsid w:val="00524CAB"/>
    <w:rsid w:val="00525832"/>
    <w:rsid w:val="005259B2"/>
    <w:rsid w:val="0052666A"/>
    <w:rsid w:val="0052680E"/>
    <w:rsid w:val="00526AC5"/>
    <w:rsid w:val="005271BF"/>
    <w:rsid w:val="00527493"/>
    <w:rsid w:val="00527712"/>
    <w:rsid w:val="00527B83"/>
    <w:rsid w:val="00527C23"/>
    <w:rsid w:val="00527C67"/>
    <w:rsid w:val="0053018F"/>
    <w:rsid w:val="00530262"/>
    <w:rsid w:val="00531265"/>
    <w:rsid w:val="0053180F"/>
    <w:rsid w:val="00532171"/>
    <w:rsid w:val="005325E7"/>
    <w:rsid w:val="00533EC7"/>
    <w:rsid w:val="0053537F"/>
    <w:rsid w:val="00536D8E"/>
    <w:rsid w:val="00536F63"/>
    <w:rsid w:val="00537D84"/>
    <w:rsid w:val="005400C4"/>
    <w:rsid w:val="00540E39"/>
    <w:rsid w:val="00540E78"/>
    <w:rsid w:val="00540EA4"/>
    <w:rsid w:val="00541036"/>
    <w:rsid w:val="005414A0"/>
    <w:rsid w:val="005418B1"/>
    <w:rsid w:val="00542741"/>
    <w:rsid w:val="00542DBB"/>
    <w:rsid w:val="00543114"/>
    <w:rsid w:val="005432BE"/>
    <w:rsid w:val="00543A61"/>
    <w:rsid w:val="005446D5"/>
    <w:rsid w:val="00544C14"/>
    <w:rsid w:val="00544CAB"/>
    <w:rsid w:val="00545524"/>
    <w:rsid w:val="005457F1"/>
    <w:rsid w:val="005458A1"/>
    <w:rsid w:val="00545D77"/>
    <w:rsid w:val="00545FDE"/>
    <w:rsid w:val="00546104"/>
    <w:rsid w:val="00546B84"/>
    <w:rsid w:val="00546F6E"/>
    <w:rsid w:val="0054708C"/>
    <w:rsid w:val="00547365"/>
    <w:rsid w:val="005478AA"/>
    <w:rsid w:val="00547AAD"/>
    <w:rsid w:val="00550A17"/>
    <w:rsid w:val="00550AC2"/>
    <w:rsid w:val="00550B70"/>
    <w:rsid w:val="00550F3D"/>
    <w:rsid w:val="00550F88"/>
    <w:rsid w:val="005523FA"/>
    <w:rsid w:val="00552809"/>
    <w:rsid w:val="00552D07"/>
    <w:rsid w:val="00552F93"/>
    <w:rsid w:val="0055365B"/>
    <w:rsid w:val="00553CED"/>
    <w:rsid w:val="00554410"/>
    <w:rsid w:val="00554952"/>
    <w:rsid w:val="00554BA4"/>
    <w:rsid w:val="00554EB6"/>
    <w:rsid w:val="0055520E"/>
    <w:rsid w:val="005559C1"/>
    <w:rsid w:val="00555EA2"/>
    <w:rsid w:val="00556048"/>
    <w:rsid w:val="00556566"/>
    <w:rsid w:val="00556856"/>
    <w:rsid w:val="005573DE"/>
    <w:rsid w:val="005577E3"/>
    <w:rsid w:val="00557907"/>
    <w:rsid w:val="00557937"/>
    <w:rsid w:val="00557AC8"/>
    <w:rsid w:val="00557B80"/>
    <w:rsid w:val="00557FF3"/>
    <w:rsid w:val="00560319"/>
    <w:rsid w:val="0056035F"/>
    <w:rsid w:val="00560A41"/>
    <w:rsid w:val="005610D5"/>
    <w:rsid w:val="005611CE"/>
    <w:rsid w:val="0056120C"/>
    <w:rsid w:val="00561591"/>
    <w:rsid w:val="00561B00"/>
    <w:rsid w:val="00562173"/>
    <w:rsid w:val="00562180"/>
    <w:rsid w:val="00562B3E"/>
    <w:rsid w:val="00562E3D"/>
    <w:rsid w:val="00563731"/>
    <w:rsid w:val="00564177"/>
    <w:rsid w:val="00564A91"/>
    <w:rsid w:val="00564FE7"/>
    <w:rsid w:val="0056514B"/>
    <w:rsid w:val="00566083"/>
    <w:rsid w:val="005660EA"/>
    <w:rsid w:val="00566FCF"/>
    <w:rsid w:val="0056707D"/>
    <w:rsid w:val="005670F2"/>
    <w:rsid w:val="005672D2"/>
    <w:rsid w:val="0056758B"/>
    <w:rsid w:val="0057051A"/>
    <w:rsid w:val="005707F8"/>
    <w:rsid w:val="005708AD"/>
    <w:rsid w:val="00570C62"/>
    <w:rsid w:val="00570DB7"/>
    <w:rsid w:val="00571076"/>
    <w:rsid w:val="00571774"/>
    <w:rsid w:val="005718CF"/>
    <w:rsid w:val="005718D0"/>
    <w:rsid w:val="005722B3"/>
    <w:rsid w:val="00572413"/>
    <w:rsid w:val="00572459"/>
    <w:rsid w:val="00572A0C"/>
    <w:rsid w:val="00572B29"/>
    <w:rsid w:val="0057316E"/>
    <w:rsid w:val="00573532"/>
    <w:rsid w:val="005737AE"/>
    <w:rsid w:val="00573D73"/>
    <w:rsid w:val="005742B6"/>
    <w:rsid w:val="005749CA"/>
    <w:rsid w:val="00574EA9"/>
    <w:rsid w:val="005750C4"/>
    <w:rsid w:val="005750FB"/>
    <w:rsid w:val="00575493"/>
    <w:rsid w:val="0057679B"/>
    <w:rsid w:val="00576BF4"/>
    <w:rsid w:val="0057774C"/>
    <w:rsid w:val="00580078"/>
    <w:rsid w:val="00580130"/>
    <w:rsid w:val="00581254"/>
    <w:rsid w:val="0058203F"/>
    <w:rsid w:val="005824B4"/>
    <w:rsid w:val="00582D04"/>
    <w:rsid w:val="00583810"/>
    <w:rsid w:val="00583C02"/>
    <w:rsid w:val="005852C6"/>
    <w:rsid w:val="005859E5"/>
    <w:rsid w:val="00585F33"/>
    <w:rsid w:val="00586908"/>
    <w:rsid w:val="005871D0"/>
    <w:rsid w:val="00587A12"/>
    <w:rsid w:val="00587D97"/>
    <w:rsid w:val="00590F3B"/>
    <w:rsid w:val="00591347"/>
    <w:rsid w:val="00591B24"/>
    <w:rsid w:val="00591DA4"/>
    <w:rsid w:val="0059260B"/>
    <w:rsid w:val="0059289B"/>
    <w:rsid w:val="0059386A"/>
    <w:rsid w:val="00593CF5"/>
    <w:rsid w:val="0059580A"/>
    <w:rsid w:val="0059617E"/>
    <w:rsid w:val="005964DF"/>
    <w:rsid w:val="0059661E"/>
    <w:rsid w:val="00596A4A"/>
    <w:rsid w:val="00596B12"/>
    <w:rsid w:val="0059749F"/>
    <w:rsid w:val="00597596"/>
    <w:rsid w:val="005976AD"/>
    <w:rsid w:val="00597D94"/>
    <w:rsid w:val="005A0457"/>
    <w:rsid w:val="005A0BA3"/>
    <w:rsid w:val="005A11BB"/>
    <w:rsid w:val="005A13F6"/>
    <w:rsid w:val="005A1919"/>
    <w:rsid w:val="005A1D5C"/>
    <w:rsid w:val="005A32E9"/>
    <w:rsid w:val="005A3808"/>
    <w:rsid w:val="005A3B3C"/>
    <w:rsid w:val="005A476A"/>
    <w:rsid w:val="005A4CB0"/>
    <w:rsid w:val="005A54EF"/>
    <w:rsid w:val="005A5692"/>
    <w:rsid w:val="005A74E9"/>
    <w:rsid w:val="005A769A"/>
    <w:rsid w:val="005A77A0"/>
    <w:rsid w:val="005A7C9D"/>
    <w:rsid w:val="005B0582"/>
    <w:rsid w:val="005B0E4D"/>
    <w:rsid w:val="005B1114"/>
    <w:rsid w:val="005B1955"/>
    <w:rsid w:val="005B22A0"/>
    <w:rsid w:val="005B2528"/>
    <w:rsid w:val="005B2B5C"/>
    <w:rsid w:val="005B3661"/>
    <w:rsid w:val="005B37F5"/>
    <w:rsid w:val="005B3988"/>
    <w:rsid w:val="005B43FC"/>
    <w:rsid w:val="005B47DD"/>
    <w:rsid w:val="005B4BBC"/>
    <w:rsid w:val="005B5D24"/>
    <w:rsid w:val="005B60DE"/>
    <w:rsid w:val="005B6D0A"/>
    <w:rsid w:val="005B719C"/>
    <w:rsid w:val="005B737C"/>
    <w:rsid w:val="005C15EE"/>
    <w:rsid w:val="005C17EF"/>
    <w:rsid w:val="005C1984"/>
    <w:rsid w:val="005C198B"/>
    <w:rsid w:val="005C2375"/>
    <w:rsid w:val="005C2DBA"/>
    <w:rsid w:val="005C35E8"/>
    <w:rsid w:val="005C397F"/>
    <w:rsid w:val="005C4161"/>
    <w:rsid w:val="005C45CE"/>
    <w:rsid w:val="005C46DA"/>
    <w:rsid w:val="005C483F"/>
    <w:rsid w:val="005C4B31"/>
    <w:rsid w:val="005C4E09"/>
    <w:rsid w:val="005C5364"/>
    <w:rsid w:val="005C5414"/>
    <w:rsid w:val="005C583D"/>
    <w:rsid w:val="005C58D8"/>
    <w:rsid w:val="005C5CD0"/>
    <w:rsid w:val="005C5DA1"/>
    <w:rsid w:val="005C5E4C"/>
    <w:rsid w:val="005C6E77"/>
    <w:rsid w:val="005C715F"/>
    <w:rsid w:val="005C716E"/>
    <w:rsid w:val="005C7C1A"/>
    <w:rsid w:val="005C7FD3"/>
    <w:rsid w:val="005D0150"/>
    <w:rsid w:val="005D02AE"/>
    <w:rsid w:val="005D0F10"/>
    <w:rsid w:val="005D193A"/>
    <w:rsid w:val="005D25D5"/>
    <w:rsid w:val="005D2664"/>
    <w:rsid w:val="005D26B3"/>
    <w:rsid w:val="005D2789"/>
    <w:rsid w:val="005D27F2"/>
    <w:rsid w:val="005D2A94"/>
    <w:rsid w:val="005D2B31"/>
    <w:rsid w:val="005D3B57"/>
    <w:rsid w:val="005D3B9C"/>
    <w:rsid w:val="005D3E9D"/>
    <w:rsid w:val="005D472F"/>
    <w:rsid w:val="005D4948"/>
    <w:rsid w:val="005D503B"/>
    <w:rsid w:val="005D5126"/>
    <w:rsid w:val="005D51B6"/>
    <w:rsid w:val="005D53A9"/>
    <w:rsid w:val="005D599C"/>
    <w:rsid w:val="005D59C2"/>
    <w:rsid w:val="005D6152"/>
    <w:rsid w:val="005D61B4"/>
    <w:rsid w:val="005D633D"/>
    <w:rsid w:val="005D6676"/>
    <w:rsid w:val="005D6B6A"/>
    <w:rsid w:val="005D6BB0"/>
    <w:rsid w:val="005D6C37"/>
    <w:rsid w:val="005D7105"/>
    <w:rsid w:val="005D754E"/>
    <w:rsid w:val="005D77CF"/>
    <w:rsid w:val="005D7899"/>
    <w:rsid w:val="005D7AA9"/>
    <w:rsid w:val="005E020F"/>
    <w:rsid w:val="005E05A5"/>
    <w:rsid w:val="005E0A1A"/>
    <w:rsid w:val="005E0CE8"/>
    <w:rsid w:val="005E15C8"/>
    <w:rsid w:val="005E15F7"/>
    <w:rsid w:val="005E1BDB"/>
    <w:rsid w:val="005E2B6B"/>
    <w:rsid w:val="005E36BC"/>
    <w:rsid w:val="005E3C68"/>
    <w:rsid w:val="005E3ECE"/>
    <w:rsid w:val="005E3F84"/>
    <w:rsid w:val="005E41B8"/>
    <w:rsid w:val="005E45AA"/>
    <w:rsid w:val="005E4C4A"/>
    <w:rsid w:val="005E4F70"/>
    <w:rsid w:val="005E59E7"/>
    <w:rsid w:val="005E5E3A"/>
    <w:rsid w:val="005E5F81"/>
    <w:rsid w:val="005E78A6"/>
    <w:rsid w:val="005F02DE"/>
    <w:rsid w:val="005F0384"/>
    <w:rsid w:val="005F0BDD"/>
    <w:rsid w:val="005F1009"/>
    <w:rsid w:val="005F1619"/>
    <w:rsid w:val="005F2106"/>
    <w:rsid w:val="005F2482"/>
    <w:rsid w:val="005F2D92"/>
    <w:rsid w:val="005F3713"/>
    <w:rsid w:val="005F3C94"/>
    <w:rsid w:val="005F400D"/>
    <w:rsid w:val="005F41B0"/>
    <w:rsid w:val="005F4247"/>
    <w:rsid w:val="005F43EB"/>
    <w:rsid w:val="005F4AF0"/>
    <w:rsid w:val="005F4F02"/>
    <w:rsid w:val="005F4F31"/>
    <w:rsid w:val="005F533D"/>
    <w:rsid w:val="005F55A3"/>
    <w:rsid w:val="005F55C5"/>
    <w:rsid w:val="005F59AD"/>
    <w:rsid w:val="005F5FC1"/>
    <w:rsid w:val="005F6BF9"/>
    <w:rsid w:val="005F6C2F"/>
    <w:rsid w:val="005F7B79"/>
    <w:rsid w:val="005F7B7A"/>
    <w:rsid w:val="005F7DD7"/>
    <w:rsid w:val="006009EA"/>
    <w:rsid w:val="00600A76"/>
    <w:rsid w:val="006015EF"/>
    <w:rsid w:val="00601859"/>
    <w:rsid w:val="006018B3"/>
    <w:rsid w:val="00601E6A"/>
    <w:rsid w:val="006025F5"/>
    <w:rsid w:val="00603433"/>
    <w:rsid w:val="00603779"/>
    <w:rsid w:val="00603D70"/>
    <w:rsid w:val="0060401C"/>
    <w:rsid w:val="0060460A"/>
    <w:rsid w:val="0060497B"/>
    <w:rsid w:val="0060517E"/>
    <w:rsid w:val="006053AB"/>
    <w:rsid w:val="00605663"/>
    <w:rsid w:val="00606BB8"/>
    <w:rsid w:val="00606C29"/>
    <w:rsid w:val="00606EE4"/>
    <w:rsid w:val="00607451"/>
    <w:rsid w:val="00607B56"/>
    <w:rsid w:val="0061007B"/>
    <w:rsid w:val="00610545"/>
    <w:rsid w:val="00611627"/>
    <w:rsid w:val="00611B95"/>
    <w:rsid w:val="00611EAE"/>
    <w:rsid w:val="00611F27"/>
    <w:rsid w:val="00611FE3"/>
    <w:rsid w:val="006122F6"/>
    <w:rsid w:val="006124D3"/>
    <w:rsid w:val="006130EF"/>
    <w:rsid w:val="00613258"/>
    <w:rsid w:val="0061339C"/>
    <w:rsid w:val="00613A71"/>
    <w:rsid w:val="00613D16"/>
    <w:rsid w:val="00614350"/>
    <w:rsid w:val="00614EDE"/>
    <w:rsid w:val="0061584A"/>
    <w:rsid w:val="00615ADD"/>
    <w:rsid w:val="006166EF"/>
    <w:rsid w:val="0061683D"/>
    <w:rsid w:val="00616997"/>
    <w:rsid w:val="0061759C"/>
    <w:rsid w:val="00620052"/>
    <w:rsid w:val="006200DA"/>
    <w:rsid w:val="006200EC"/>
    <w:rsid w:val="006206EA"/>
    <w:rsid w:val="006208E2"/>
    <w:rsid w:val="00620957"/>
    <w:rsid w:val="00621153"/>
    <w:rsid w:val="0062149A"/>
    <w:rsid w:val="006216FD"/>
    <w:rsid w:val="00621B2E"/>
    <w:rsid w:val="00621CF0"/>
    <w:rsid w:val="00622A8B"/>
    <w:rsid w:val="0062342A"/>
    <w:rsid w:val="00623520"/>
    <w:rsid w:val="006236C5"/>
    <w:rsid w:val="00623C02"/>
    <w:rsid w:val="00624067"/>
    <w:rsid w:val="00624069"/>
    <w:rsid w:val="006246C9"/>
    <w:rsid w:val="0062507B"/>
    <w:rsid w:val="0062558A"/>
    <w:rsid w:val="00625663"/>
    <w:rsid w:val="00625F0F"/>
    <w:rsid w:val="00626D7A"/>
    <w:rsid w:val="00627601"/>
    <w:rsid w:val="00627978"/>
    <w:rsid w:val="00627CF9"/>
    <w:rsid w:val="00627E59"/>
    <w:rsid w:val="00627F34"/>
    <w:rsid w:val="00630429"/>
    <w:rsid w:val="006305B7"/>
    <w:rsid w:val="00630784"/>
    <w:rsid w:val="00630C2A"/>
    <w:rsid w:val="00630E3C"/>
    <w:rsid w:val="00631059"/>
    <w:rsid w:val="00631531"/>
    <w:rsid w:val="0063181F"/>
    <w:rsid w:val="00632943"/>
    <w:rsid w:val="00632AAF"/>
    <w:rsid w:val="00633154"/>
    <w:rsid w:val="006342F0"/>
    <w:rsid w:val="00634CA6"/>
    <w:rsid w:val="00635469"/>
    <w:rsid w:val="00636038"/>
    <w:rsid w:val="0063624D"/>
    <w:rsid w:val="0063639A"/>
    <w:rsid w:val="006368CD"/>
    <w:rsid w:val="0063690B"/>
    <w:rsid w:val="00636B54"/>
    <w:rsid w:val="00636CDE"/>
    <w:rsid w:val="00636FED"/>
    <w:rsid w:val="00637377"/>
    <w:rsid w:val="00637459"/>
    <w:rsid w:val="00637460"/>
    <w:rsid w:val="006375EE"/>
    <w:rsid w:val="00640800"/>
    <w:rsid w:val="00640B98"/>
    <w:rsid w:val="00641C41"/>
    <w:rsid w:val="00641EA5"/>
    <w:rsid w:val="006421A1"/>
    <w:rsid w:val="00642282"/>
    <w:rsid w:val="00642293"/>
    <w:rsid w:val="006429F5"/>
    <w:rsid w:val="00642E47"/>
    <w:rsid w:val="00642F10"/>
    <w:rsid w:val="006431C7"/>
    <w:rsid w:val="00644857"/>
    <w:rsid w:val="00644912"/>
    <w:rsid w:val="00644E77"/>
    <w:rsid w:val="00645AC0"/>
    <w:rsid w:val="00645B2D"/>
    <w:rsid w:val="006478C4"/>
    <w:rsid w:val="00647E75"/>
    <w:rsid w:val="0065031D"/>
    <w:rsid w:val="0065044F"/>
    <w:rsid w:val="00650819"/>
    <w:rsid w:val="00651DAA"/>
    <w:rsid w:val="00651E88"/>
    <w:rsid w:val="00652842"/>
    <w:rsid w:val="00653592"/>
    <w:rsid w:val="0065408F"/>
    <w:rsid w:val="0065410D"/>
    <w:rsid w:val="00654A4F"/>
    <w:rsid w:val="006552C3"/>
    <w:rsid w:val="006556A2"/>
    <w:rsid w:val="006556FC"/>
    <w:rsid w:val="00655F9A"/>
    <w:rsid w:val="0065604B"/>
    <w:rsid w:val="0065627C"/>
    <w:rsid w:val="006566B5"/>
    <w:rsid w:val="00656B21"/>
    <w:rsid w:val="00660062"/>
    <w:rsid w:val="0066006D"/>
    <w:rsid w:val="00660AD3"/>
    <w:rsid w:val="00660B94"/>
    <w:rsid w:val="006613DF"/>
    <w:rsid w:val="00661C39"/>
    <w:rsid w:val="00661C9A"/>
    <w:rsid w:val="00661CF1"/>
    <w:rsid w:val="00661F31"/>
    <w:rsid w:val="006621DE"/>
    <w:rsid w:val="006621E9"/>
    <w:rsid w:val="00662229"/>
    <w:rsid w:val="00662306"/>
    <w:rsid w:val="00662B4E"/>
    <w:rsid w:val="00663683"/>
    <w:rsid w:val="00663776"/>
    <w:rsid w:val="006637A3"/>
    <w:rsid w:val="00663B84"/>
    <w:rsid w:val="00663C7E"/>
    <w:rsid w:val="00663CA0"/>
    <w:rsid w:val="00663F58"/>
    <w:rsid w:val="00664411"/>
    <w:rsid w:val="006645E6"/>
    <w:rsid w:val="00664E27"/>
    <w:rsid w:val="006656FA"/>
    <w:rsid w:val="00666565"/>
    <w:rsid w:val="006668E2"/>
    <w:rsid w:val="00666B8F"/>
    <w:rsid w:val="0066723D"/>
    <w:rsid w:val="006673BC"/>
    <w:rsid w:val="0066757A"/>
    <w:rsid w:val="0066763E"/>
    <w:rsid w:val="00667667"/>
    <w:rsid w:val="006676DD"/>
    <w:rsid w:val="00667940"/>
    <w:rsid w:val="00667EE1"/>
    <w:rsid w:val="00670318"/>
    <w:rsid w:val="00670BDA"/>
    <w:rsid w:val="00670CA8"/>
    <w:rsid w:val="00670ED9"/>
    <w:rsid w:val="00671097"/>
    <w:rsid w:val="00671840"/>
    <w:rsid w:val="00671AFE"/>
    <w:rsid w:val="00671B92"/>
    <w:rsid w:val="00671D06"/>
    <w:rsid w:val="0067277A"/>
    <w:rsid w:val="00673107"/>
    <w:rsid w:val="0067341A"/>
    <w:rsid w:val="00673CCB"/>
    <w:rsid w:val="00673E2C"/>
    <w:rsid w:val="00673F08"/>
    <w:rsid w:val="00673FC2"/>
    <w:rsid w:val="00674268"/>
    <w:rsid w:val="0067488C"/>
    <w:rsid w:val="0067576F"/>
    <w:rsid w:val="00676DC6"/>
    <w:rsid w:val="00676FCC"/>
    <w:rsid w:val="00676FD7"/>
    <w:rsid w:val="0067731F"/>
    <w:rsid w:val="00677D85"/>
    <w:rsid w:val="00677E2A"/>
    <w:rsid w:val="00677F8E"/>
    <w:rsid w:val="0068038C"/>
    <w:rsid w:val="006803C0"/>
    <w:rsid w:val="006804FC"/>
    <w:rsid w:val="00680B2D"/>
    <w:rsid w:val="00680CE3"/>
    <w:rsid w:val="006810F1"/>
    <w:rsid w:val="00681624"/>
    <w:rsid w:val="00681B28"/>
    <w:rsid w:val="00681C2A"/>
    <w:rsid w:val="00681E81"/>
    <w:rsid w:val="0068278C"/>
    <w:rsid w:val="00682B05"/>
    <w:rsid w:val="00682E83"/>
    <w:rsid w:val="00683628"/>
    <w:rsid w:val="00683875"/>
    <w:rsid w:val="0068405D"/>
    <w:rsid w:val="00684E3A"/>
    <w:rsid w:val="00684F80"/>
    <w:rsid w:val="00685382"/>
    <w:rsid w:val="0068547B"/>
    <w:rsid w:val="00685AF1"/>
    <w:rsid w:val="00685B9C"/>
    <w:rsid w:val="00686191"/>
    <w:rsid w:val="00686510"/>
    <w:rsid w:val="00686559"/>
    <w:rsid w:val="006865C7"/>
    <w:rsid w:val="006867F3"/>
    <w:rsid w:val="00686A76"/>
    <w:rsid w:val="00686C6F"/>
    <w:rsid w:val="0068721C"/>
    <w:rsid w:val="0068749F"/>
    <w:rsid w:val="00687A5C"/>
    <w:rsid w:val="00687F9D"/>
    <w:rsid w:val="0069043D"/>
    <w:rsid w:val="00690CF7"/>
    <w:rsid w:val="00690D33"/>
    <w:rsid w:val="006913DB"/>
    <w:rsid w:val="00691455"/>
    <w:rsid w:val="00691F7B"/>
    <w:rsid w:val="00692DE8"/>
    <w:rsid w:val="0069434B"/>
    <w:rsid w:val="00694441"/>
    <w:rsid w:val="006945FE"/>
    <w:rsid w:val="00694DCD"/>
    <w:rsid w:val="00694DD0"/>
    <w:rsid w:val="006955BA"/>
    <w:rsid w:val="00695F70"/>
    <w:rsid w:val="00696181"/>
    <w:rsid w:val="006961E2"/>
    <w:rsid w:val="00696279"/>
    <w:rsid w:val="0069673A"/>
    <w:rsid w:val="00696F24"/>
    <w:rsid w:val="00697375"/>
    <w:rsid w:val="006978FB"/>
    <w:rsid w:val="006A0249"/>
    <w:rsid w:val="006A0625"/>
    <w:rsid w:val="006A0CE3"/>
    <w:rsid w:val="006A18CA"/>
    <w:rsid w:val="006A2DDB"/>
    <w:rsid w:val="006A334A"/>
    <w:rsid w:val="006A3F66"/>
    <w:rsid w:val="006A4202"/>
    <w:rsid w:val="006A59C8"/>
    <w:rsid w:val="006A5CB7"/>
    <w:rsid w:val="006A6494"/>
    <w:rsid w:val="006A69FF"/>
    <w:rsid w:val="006A720A"/>
    <w:rsid w:val="006B0EEC"/>
    <w:rsid w:val="006B2574"/>
    <w:rsid w:val="006B2934"/>
    <w:rsid w:val="006B52F3"/>
    <w:rsid w:val="006B6D1E"/>
    <w:rsid w:val="006B6F22"/>
    <w:rsid w:val="006B6FC3"/>
    <w:rsid w:val="006B73E7"/>
    <w:rsid w:val="006B74A5"/>
    <w:rsid w:val="006B75AB"/>
    <w:rsid w:val="006B7932"/>
    <w:rsid w:val="006B7B9A"/>
    <w:rsid w:val="006C0030"/>
    <w:rsid w:val="006C17CD"/>
    <w:rsid w:val="006C18C8"/>
    <w:rsid w:val="006C19C0"/>
    <w:rsid w:val="006C1E64"/>
    <w:rsid w:val="006C221D"/>
    <w:rsid w:val="006C2913"/>
    <w:rsid w:val="006C295C"/>
    <w:rsid w:val="006C2B77"/>
    <w:rsid w:val="006C3878"/>
    <w:rsid w:val="006C3D45"/>
    <w:rsid w:val="006C412A"/>
    <w:rsid w:val="006C43B8"/>
    <w:rsid w:val="006C55E1"/>
    <w:rsid w:val="006C5923"/>
    <w:rsid w:val="006C593A"/>
    <w:rsid w:val="006C5B9C"/>
    <w:rsid w:val="006C5D2A"/>
    <w:rsid w:val="006C6238"/>
    <w:rsid w:val="006C69CA"/>
    <w:rsid w:val="006C76C8"/>
    <w:rsid w:val="006D15FD"/>
    <w:rsid w:val="006D2616"/>
    <w:rsid w:val="006D263F"/>
    <w:rsid w:val="006D2738"/>
    <w:rsid w:val="006D2955"/>
    <w:rsid w:val="006D2959"/>
    <w:rsid w:val="006D2B0E"/>
    <w:rsid w:val="006D304F"/>
    <w:rsid w:val="006D349A"/>
    <w:rsid w:val="006D37CE"/>
    <w:rsid w:val="006D4B36"/>
    <w:rsid w:val="006D4B6B"/>
    <w:rsid w:val="006D56E8"/>
    <w:rsid w:val="006D5EF0"/>
    <w:rsid w:val="006D6980"/>
    <w:rsid w:val="006D6C4B"/>
    <w:rsid w:val="006D7304"/>
    <w:rsid w:val="006D7ED4"/>
    <w:rsid w:val="006E0771"/>
    <w:rsid w:val="006E0AE0"/>
    <w:rsid w:val="006E23DC"/>
    <w:rsid w:val="006E2574"/>
    <w:rsid w:val="006E25F5"/>
    <w:rsid w:val="006E2E06"/>
    <w:rsid w:val="006E304B"/>
    <w:rsid w:val="006E352D"/>
    <w:rsid w:val="006E54DF"/>
    <w:rsid w:val="006E55FF"/>
    <w:rsid w:val="006E58EB"/>
    <w:rsid w:val="006E5D34"/>
    <w:rsid w:val="006E64F1"/>
    <w:rsid w:val="006E65AC"/>
    <w:rsid w:val="006E65DF"/>
    <w:rsid w:val="006E6E21"/>
    <w:rsid w:val="006E6EC4"/>
    <w:rsid w:val="006E7160"/>
    <w:rsid w:val="006E78BA"/>
    <w:rsid w:val="006E7DF8"/>
    <w:rsid w:val="006F0C3B"/>
    <w:rsid w:val="006F0DDA"/>
    <w:rsid w:val="006F10BC"/>
    <w:rsid w:val="006F19F0"/>
    <w:rsid w:val="006F1F23"/>
    <w:rsid w:val="006F2242"/>
    <w:rsid w:val="006F2A1C"/>
    <w:rsid w:val="006F306F"/>
    <w:rsid w:val="006F344E"/>
    <w:rsid w:val="006F398F"/>
    <w:rsid w:val="006F4159"/>
    <w:rsid w:val="006F484F"/>
    <w:rsid w:val="006F4855"/>
    <w:rsid w:val="006F5490"/>
    <w:rsid w:val="006F54B3"/>
    <w:rsid w:val="006F5512"/>
    <w:rsid w:val="006F55DD"/>
    <w:rsid w:val="006F5850"/>
    <w:rsid w:val="006F5D60"/>
    <w:rsid w:val="006F5F73"/>
    <w:rsid w:val="006F6489"/>
    <w:rsid w:val="006F6AED"/>
    <w:rsid w:val="006F6B6B"/>
    <w:rsid w:val="006F6E3A"/>
    <w:rsid w:val="006F6FC6"/>
    <w:rsid w:val="006F725D"/>
    <w:rsid w:val="006F7266"/>
    <w:rsid w:val="006F7AED"/>
    <w:rsid w:val="0070088E"/>
    <w:rsid w:val="00700961"/>
    <w:rsid w:val="00700CEB"/>
    <w:rsid w:val="00700D46"/>
    <w:rsid w:val="00701132"/>
    <w:rsid w:val="00701309"/>
    <w:rsid w:val="00701F57"/>
    <w:rsid w:val="00702E1F"/>
    <w:rsid w:val="007041E6"/>
    <w:rsid w:val="00704224"/>
    <w:rsid w:val="007042DD"/>
    <w:rsid w:val="0070440C"/>
    <w:rsid w:val="0070454B"/>
    <w:rsid w:val="007045AE"/>
    <w:rsid w:val="0070472C"/>
    <w:rsid w:val="00704B94"/>
    <w:rsid w:val="00704F76"/>
    <w:rsid w:val="00705429"/>
    <w:rsid w:val="00705730"/>
    <w:rsid w:val="00705886"/>
    <w:rsid w:val="00705E38"/>
    <w:rsid w:val="00706325"/>
    <w:rsid w:val="00706BFA"/>
    <w:rsid w:val="0070728D"/>
    <w:rsid w:val="007072C6"/>
    <w:rsid w:val="00707A8D"/>
    <w:rsid w:val="00710924"/>
    <w:rsid w:val="00710FF6"/>
    <w:rsid w:val="007113DD"/>
    <w:rsid w:val="007118F7"/>
    <w:rsid w:val="00711C40"/>
    <w:rsid w:val="00712DD6"/>
    <w:rsid w:val="00713926"/>
    <w:rsid w:val="007143A1"/>
    <w:rsid w:val="0071499A"/>
    <w:rsid w:val="00714B03"/>
    <w:rsid w:val="00714DCA"/>
    <w:rsid w:val="007151C3"/>
    <w:rsid w:val="007156C9"/>
    <w:rsid w:val="0071607D"/>
    <w:rsid w:val="00716632"/>
    <w:rsid w:val="00716B87"/>
    <w:rsid w:val="00716C55"/>
    <w:rsid w:val="00716FFA"/>
    <w:rsid w:val="00717864"/>
    <w:rsid w:val="0071787C"/>
    <w:rsid w:val="0072072D"/>
    <w:rsid w:val="007208B3"/>
    <w:rsid w:val="00721109"/>
    <w:rsid w:val="00722004"/>
    <w:rsid w:val="007223DB"/>
    <w:rsid w:val="0072273A"/>
    <w:rsid w:val="00723124"/>
    <w:rsid w:val="0072441E"/>
    <w:rsid w:val="007245A5"/>
    <w:rsid w:val="00724C24"/>
    <w:rsid w:val="00724E3E"/>
    <w:rsid w:val="00725709"/>
    <w:rsid w:val="00725C99"/>
    <w:rsid w:val="00725F8F"/>
    <w:rsid w:val="00725FA8"/>
    <w:rsid w:val="00726302"/>
    <w:rsid w:val="00726452"/>
    <w:rsid w:val="00726466"/>
    <w:rsid w:val="0072649B"/>
    <w:rsid w:val="00726554"/>
    <w:rsid w:val="00726752"/>
    <w:rsid w:val="00726923"/>
    <w:rsid w:val="00726A50"/>
    <w:rsid w:val="00726B56"/>
    <w:rsid w:val="00726DD0"/>
    <w:rsid w:val="00727ABC"/>
    <w:rsid w:val="0073010A"/>
    <w:rsid w:val="00730363"/>
    <w:rsid w:val="0073055F"/>
    <w:rsid w:val="007307A9"/>
    <w:rsid w:val="00732422"/>
    <w:rsid w:val="00732472"/>
    <w:rsid w:val="0073283F"/>
    <w:rsid w:val="007330C1"/>
    <w:rsid w:val="00733992"/>
    <w:rsid w:val="007345DF"/>
    <w:rsid w:val="00734A37"/>
    <w:rsid w:val="00734A9E"/>
    <w:rsid w:val="00734F95"/>
    <w:rsid w:val="00735025"/>
    <w:rsid w:val="007355DD"/>
    <w:rsid w:val="00736A75"/>
    <w:rsid w:val="0073751D"/>
    <w:rsid w:val="007378D3"/>
    <w:rsid w:val="00737B70"/>
    <w:rsid w:val="00737DFA"/>
    <w:rsid w:val="007421F0"/>
    <w:rsid w:val="0074302D"/>
    <w:rsid w:val="007430D4"/>
    <w:rsid w:val="00743762"/>
    <w:rsid w:val="00743EAD"/>
    <w:rsid w:val="007440C3"/>
    <w:rsid w:val="00744947"/>
    <w:rsid w:val="007458A2"/>
    <w:rsid w:val="00745949"/>
    <w:rsid w:val="00745DE8"/>
    <w:rsid w:val="0074701A"/>
    <w:rsid w:val="00747070"/>
    <w:rsid w:val="00747161"/>
    <w:rsid w:val="007471DF"/>
    <w:rsid w:val="00750446"/>
    <w:rsid w:val="007509DE"/>
    <w:rsid w:val="0075105A"/>
    <w:rsid w:val="00751675"/>
    <w:rsid w:val="00752E79"/>
    <w:rsid w:val="00753EF0"/>
    <w:rsid w:val="007548E0"/>
    <w:rsid w:val="00754B5B"/>
    <w:rsid w:val="00755405"/>
    <w:rsid w:val="00755463"/>
    <w:rsid w:val="00755D9B"/>
    <w:rsid w:val="00756146"/>
    <w:rsid w:val="00756AB4"/>
    <w:rsid w:val="00756FDD"/>
    <w:rsid w:val="0075729F"/>
    <w:rsid w:val="007577D9"/>
    <w:rsid w:val="00757910"/>
    <w:rsid w:val="0076031B"/>
    <w:rsid w:val="007610D2"/>
    <w:rsid w:val="00761978"/>
    <w:rsid w:val="00761B0A"/>
    <w:rsid w:val="00762240"/>
    <w:rsid w:val="00762542"/>
    <w:rsid w:val="00762889"/>
    <w:rsid w:val="00762ADA"/>
    <w:rsid w:val="00762CEE"/>
    <w:rsid w:val="00762F6E"/>
    <w:rsid w:val="007632CE"/>
    <w:rsid w:val="00763668"/>
    <w:rsid w:val="00763B69"/>
    <w:rsid w:val="00764639"/>
    <w:rsid w:val="007646B5"/>
    <w:rsid w:val="007647FF"/>
    <w:rsid w:val="00764806"/>
    <w:rsid w:val="00765401"/>
    <w:rsid w:val="007654CE"/>
    <w:rsid w:val="007657CE"/>
    <w:rsid w:val="00765E0E"/>
    <w:rsid w:val="0076731A"/>
    <w:rsid w:val="007674E1"/>
    <w:rsid w:val="0076793B"/>
    <w:rsid w:val="00767ACF"/>
    <w:rsid w:val="00770C2A"/>
    <w:rsid w:val="00770D40"/>
    <w:rsid w:val="00771D6E"/>
    <w:rsid w:val="007722D0"/>
    <w:rsid w:val="007723E2"/>
    <w:rsid w:val="00772DD4"/>
    <w:rsid w:val="00773939"/>
    <w:rsid w:val="00773E5F"/>
    <w:rsid w:val="007745A2"/>
    <w:rsid w:val="00774C8E"/>
    <w:rsid w:val="00774E80"/>
    <w:rsid w:val="0077534C"/>
    <w:rsid w:val="007754BE"/>
    <w:rsid w:val="00775B53"/>
    <w:rsid w:val="00776123"/>
    <w:rsid w:val="00776476"/>
    <w:rsid w:val="00780D7D"/>
    <w:rsid w:val="00780F21"/>
    <w:rsid w:val="00782210"/>
    <w:rsid w:val="007835C2"/>
    <w:rsid w:val="00783BFA"/>
    <w:rsid w:val="00785438"/>
    <w:rsid w:val="00785DBE"/>
    <w:rsid w:val="00785F00"/>
    <w:rsid w:val="007864A7"/>
    <w:rsid w:val="00786FDC"/>
    <w:rsid w:val="00787005"/>
    <w:rsid w:val="007878DD"/>
    <w:rsid w:val="00790165"/>
    <w:rsid w:val="00790642"/>
    <w:rsid w:val="00790793"/>
    <w:rsid w:val="00790ADE"/>
    <w:rsid w:val="0079103E"/>
    <w:rsid w:val="0079125B"/>
    <w:rsid w:val="0079127D"/>
    <w:rsid w:val="00791303"/>
    <w:rsid w:val="00791889"/>
    <w:rsid w:val="00791CDC"/>
    <w:rsid w:val="00792366"/>
    <w:rsid w:val="00792A22"/>
    <w:rsid w:val="00792E2E"/>
    <w:rsid w:val="00792F9A"/>
    <w:rsid w:val="00793444"/>
    <w:rsid w:val="0079368A"/>
    <w:rsid w:val="00793C9F"/>
    <w:rsid w:val="007941FF"/>
    <w:rsid w:val="007944E8"/>
    <w:rsid w:val="007944F9"/>
    <w:rsid w:val="0079451E"/>
    <w:rsid w:val="00794522"/>
    <w:rsid w:val="0079454F"/>
    <w:rsid w:val="007945BF"/>
    <w:rsid w:val="00794827"/>
    <w:rsid w:val="00794F10"/>
    <w:rsid w:val="00794FE5"/>
    <w:rsid w:val="00795377"/>
    <w:rsid w:val="00795436"/>
    <w:rsid w:val="00795B96"/>
    <w:rsid w:val="00795F53"/>
    <w:rsid w:val="00796198"/>
    <w:rsid w:val="00796C86"/>
    <w:rsid w:val="00796E49"/>
    <w:rsid w:val="007973F7"/>
    <w:rsid w:val="00797C66"/>
    <w:rsid w:val="007A0034"/>
    <w:rsid w:val="007A0265"/>
    <w:rsid w:val="007A062D"/>
    <w:rsid w:val="007A0C00"/>
    <w:rsid w:val="007A14C0"/>
    <w:rsid w:val="007A1E4A"/>
    <w:rsid w:val="007A2793"/>
    <w:rsid w:val="007A2C16"/>
    <w:rsid w:val="007A312A"/>
    <w:rsid w:val="007A3822"/>
    <w:rsid w:val="007A3E65"/>
    <w:rsid w:val="007A4ACC"/>
    <w:rsid w:val="007A4E63"/>
    <w:rsid w:val="007A5341"/>
    <w:rsid w:val="007A53FA"/>
    <w:rsid w:val="007A562D"/>
    <w:rsid w:val="007A5B61"/>
    <w:rsid w:val="007A5C18"/>
    <w:rsid w:val="007A61E1"/>
    <w:rsid w:val="007A68CD"/>
    <w:rsid w:val="007A6902"/>
    <w:rsid w:val="007A6CC4"/>
    <w:rsid w:val="007A7128"/>
    <w:rsid w:val="007A7575"/>
    <w:rsid w:val="007A77AB"/>
    <w:rsid w:val="007A793B"/>
    <w:rsid w:val="007B0962"/>
    <w:rsid w:val="007B0D76"/>
    <w:rsid w:val="007B140F"/>
    <w:rsid w:val="007B1D8F"/>
    <w:rsid w:val="007B25AB"/>
    <w:rsid w:val="007B2E56"/>
    <w:rsid w:val="007B31AB"/>
    <w:rsid w:val="007B355D"/>
    <w:rsid w:val="007B35AC"/>
    <w:rsid w:val="007B3751"/>
    <w:rsid w:val="007B3D58"/>
    <w:rsid w:val="007B4346"/>
    <w:rsid w:val="007B4D87"/>
    <w:rsid w:val="007B5454"/>
    <w:rsid w:val="007B55EC"/>
    <w:rsid w:val="007B598D"/>
    <w:rsid w:val="007B59ED"/>
    <w:rsid w:val="007B5BCE"/>
    <w:rsid w:val="007B5EA6"/>
    <w:rsid w:val="007B6081"/>
    <w:rsid w:val="007B62C6"/>
    <w:rsid w:val="007B6828"/>
    <w:rsid w:val="007B6AAE"/>
    <w:rsid w:val="007B6AED"/>
    <w:rsid w:val="007B7415"/>
    <w:rsid w:val="007B75B2"/>
    <w:rsid w:val="007B7A26"/>
    <w:rsid w:val="007C02D8"/>
    <w:rsid w:val="007C0F14"/>
    <w:rsid w:val="007C0F9A"/>
    <w:rsid w:val="007C0FD5"/>
    <w:rsid w:val="007C1452"/>
    <w:rsid w:val="007C16C1"/>
    <w:rsid w:val="007C1C9C"/>
    <w:rsid w:val="007C1E32"/>
    <w:rsid w:val="007C2114"/>
    <w:rsid w:val="007C3901"/>
    <w:rsid w:val="007C473B"/>
    <w:rsid w:val="007C4847"/>
    <w:rsid w:val="007C49C8"/>
    <w:rsid w:val="007C4A1C"/>
    <w:rsid w:val="007C4C18"/>
    <w:rsid w:val="007C5D38"/>
    <w:rsid w:val="007C5F02"/>
    <w:rsid w:val="007C5F1F"/>
    <w:rsid w:val="007C6B07"/>
    <w:rsid w:val="007C7A20"/>
    <w:rsid w:val="007D0735"/>
    <w:rsid w:val="007D0B02"/>
    <w:rsid w:val="007D0B89"/>
    <w:rsid w:val="007D0CE2"/>
    <w:rsid w:val="007D0D4A"/>
    <w:rsid w:val="007D0E08"/>
    <w:rsid w:val="007D148D"/>
    <w:rsid w:val="007D14B5"/>
    <w:rsid w:val="007D1EA9"/>
    <w:rsid w:val="007D278E"/>
    <w:rsid w:val="007D2817"/>
    <w:rsid w:val="007D2FFF"/>
    <w:rsid w:val="007D32DB"/>
    <w:rsid w:val="007D3525"/>
    <w:rsid w:val="007D3798"/>
    <w:rsid w:val="007D3EEB"/>
    <w:rsid w:val="007D3F15"/>
    <w:rsid w:val="007D441B"/>
    <w:rsid w:val="007D44EA"/>
    <w:rsid w:val="007D496A"/>
    <w:rsid w:val="007D4C34"/>
    <w:rsid w:val="007D4E05"/>
    <w:rsid w:val="007D51BD"/>
    <w:rsid w:val="007D5573"/>
    <w:rsid w:val="007D584D"/>
    <w:rsid w:val="007D5C49"/>
    <w:rsid w:val="007D66D5"/>
    <w:rsid w:val="007D676A"/>
    <w:rsid w:val="007D6ACE"/>
    <w:rsid w:val="007D6FAE"/>
    <w:rsid w:val="007D735A"/>
    <w:rsid w:val="007D74E8"/>
    <w:rsid w:val="007D770D"/>
    <w:rsid w:val="007E1068"/>
    <w:rsid w:val="007E2232"/>
    <w:rsid w:val="007E23BF"/>
    <w:rsid w:val="007E2938"/>
    <w:rsid w:val="007E33BB"/>
    <w:rsid w:val="007E3414"/>
    <w:rsid w:val="007E4088"/>
    <w:rsid w:val="007E45AF"/>
    <w:rsid w:val="007E496A"/>
    <w:rsid w:val="007E4B52"/>
    <w:rsid w:val="007E4F34"/>
    <w:rsid w:val="007E4F5A"/>
    <w:rsid w:val="007E5CD8"/>
    <w:rsid w:val="007E6793"/>
    <w:rsid w:val="007E6F4A"/>
    <w:rsid w:val="007E71E9"/>
    <w:rsid w:val="007E726F"/>
    <w:rsid w:val="007E7680"/>
    <w:rsid w:val="007E7C16"/>
    <w:rsid w:val="007E7DA4"/>
    <w:rsid w:val="007E7E4A"/>
    <w:rsid w:val="007E7F9A"/>
    <w:rsid w:val="007F00A4"/>
    <w:rsid w:val="007F1051"/>
    <w:rsid w:val="007F140D"/>
    <w:rsid w:val="007F32C2"/>
    <w:rsid w:val="007F3899"/>
    <w:rsid w:val="007F437C"/>
    <w:rsid w:val="007F475C"/>
    <w:rsid w:val="007F4AFD"/>
    <w:rsid w:val="007F4C47"/>
    <w:rsid w:val="007F4F51"/>
    <w:rsid w:val="007F536F"/>
    <w:rsid w:val="007F550E"/>
    <w:rsid w:val="007F5894"/>
    <w:rsid w:val="007F5974"/>
    <w:rsid w:val="007F5D54"/>
    <w:rsid w:val="007F5E11"/>
    <w:rsid w:val="007F5EB6"/>
    <w:rsid w:val="007F5F63"/>
    <w:rsid w:val="007F655E"/>
    <w:rsid w:val="007F6AA1"/>
    <w:rsid w:val="007F7B8A"/>
    <w:rsid w:val="007F7F2A"/>
    <w:rsid w:val="00800B9A"/>
    <w:rsid w:val="008014FF"/>
    <w:rsid w:val="00801942"/>
    <w:rsid w:val="00802AFC"/>
    <w:rsid w:val="00802C74"/>
    <w:rsid w:val="00802DE9"/>
    <w:rsid w:val="00803DA2"/>
    <w:rsid w:val="00803DDB"/>
    <w:rsid w:val="00803FEC"/>
    <w:rsid w:val="00804152"/>
    <w:rsid w:val="008048DA"/>
    <w:rsid w:val="00804ED6"/>
    <w:rsid w:val="00806C9A"/>
    <w:rsid w:val="008072F6"/>
    <w:rsid w:val="0080742A"/>
    <w:rsid w:val="00807C68"/>
    <w:rsid w:val="00810587"/>
    <w:rsid w:val="0081061C"/>
    <w:rsid w:val="0081081B"/>
    <w:rsid w:val="00810835"/>
    <w:rsid w:val="00810C48"/>
    <w:rsid w:val="00810C65"/>
    <w:rsid w:val="008113B8"/>
    <w:rsid w:val="00811EFC"/>
    <w:rsid w:val="00812800"/>
    <w:rsid w:val="00812D08"/>
    <w:rsid w:val="008132D2"/>
    <w:rsid w:val="0081361B"/>
    <w:rsid w:val="00813A17"/>
    <w:rsid w:val="00813D46"/>
    <w:rsid w:val="008141BE"/>
    <w:rsid w:val="00814AAF"/>
    <w:rsid w:val="00814D5D"/>
    <w:rsid w:val="008166D8"/>
    <w:rsid w:val="00816E0D"/>
    <w:rsid w:val="0081737B"/>
    <w:rsid w:val="008178F2"/>
    <w:rsid w:val="0082035C"/>
    <w:rsid w:val="008203C5"/>
    <w:rsid w:val="008204CA"/>
    <w:rsid w:val="008204D7"/>
    <w:rsid w:val="00820611"/>
    <w:rsid w:val="008207DF"/>
    <w:rsid w:val="00820807"/>
    <w:rsid w:val="008208CD"/>
    <w:rsid w:val="00820C40"/>
    <w:rsid w:val="00820D0D"/>
    <w:rsid w:val="00820F09"/>
    <w:rsid w:val="008210B5"/>
    <w:rsid w:val="008222E9"/>
    <w:rsid w:val="0082249A"/>
    <w:rsid w:val="0082297B"/>
    <w:rsid w:val="00822AF5"/>
    <w:rsid w:val="00823065"/>
    <w:rsid w:val="008232ED"/>
    <w:rsid w:val="0082345D"/>
    <w:rsid w:val="00823639"/>
    <w:rsid w:val="00823BF8"/>
    <w:rsid w:val="008240CD"/>
    <w:rsid w:val="008241C0"/>
    <w:rsid w:val="0082460F"/>
    <w:rsid w:val="008248AE"/>
    <w:rsid w:val="00824908"/>
    <w:rsid w:val="008262AC"/>
    <w:rsid w:val="0082663B"/>
    <w:rsid w:val="008266BF"/>
    <w:rsid w:val="00826981"/>
    <w:rsid w:val="00826C35"/>
    <w:rsid w:val="00826D5F"/>
    <w:rsid w:val="00826DED"/>
    <w:rsid w:val="00827E6F"/>
    <w:rsid w:val="00827EB2"/>
    <w:rsid w:val="008309E6"/>
    <w:rsid w:val="00830F10"/>
    <w:rsid w:val="00831040"/>
    <w:rsid w:val="00831122"/>
    <w:rsid w:val="00831F36"/>
    <w:rsid w:val="00832152"/>
    <w:rsid w:val="0083241E"/>
    <w:rsid w:val="008324F0"/>
    <w:rsid w:val="00832563"/>
    <w:rsid w:val="00832749"/>
    <w:rsid w:val="008331C1"/>
    <w:rsid w:val="008334C9"/>
    <w:rsid w:val="0083365C"/>
    <w:rsid w:val="00833961"/>
    <w:rsid w:val="00833F75"/>
    <w:rsid w:val="008344D6"/>
    <w:rsid w:val="00834CD7"/>
    <w:rsid w:val="0083652E"/>
    <w:rsid w:val="008369CD"/>
    <w:rsid w:val="008373BD"/>
    <w:rsid w:val="00837737"/>
    <w:rsid w:val="00837EE6"/>
    <w:rsid w:val="008403A6"/>
    <w:rsid w:val="0084051C"/>
    <w:rsid w:val="00840791"/>
    <w:rsid w:val="008411E3"/>
    <w:rsid w:val="00841B88"/>
    <w:rsid w:val="0084253F"/>
    <w:rsid w:val="0084282E"/>
    <w:rsid w:val="00842BBE"/>
    <w:rsid w:val="00842E2C"/>
    <w:rsid w:val="00842F4F"/>
    <w:rsid w:val="00842F56"/>
    <w:rsid w:val="00842FAF"/>
    <w:rsid w:val="008432A7"/>
    <w:rsid w:val="00843B18"/>
    <w:rsid w:val="00843EF8"/>
    <w:rsid w:val="00844080"/>
    <w:rsid w:val="0084420F"/>
    <w:rsid w:val="008445DD"/>
    <w:rsid w:val="00844EBB"/>
    <w:rsid w:val="00845123"/>
    <w:rsid w:val="008451D5"/>
    <w:rsid w:val="00845D4A"/>
    <w:rsid w:val="00845ECD"/>
    <w:rsid w:val="0084651F"/>
    <w:rsid w:val="008469AD"/>
    <w:rsid w:val="00847286"/>
    <w:rsid w:val="008477F2"/>
    <w:rsid w:val="00847CAB"/>
    <w:rsid w:val="00850573"/>
    <w:rsid w:val="008505F8"/>
    <w:rsid w:val="00850A96"/>
    <w:rsid w:val="00850EF3"/>
    <w:rsid w:val="008514DA"/>
    <w:rsid w:val="00852282"/>
    <w:rsid w:val="00852601"/>
    <w:rsid w:val="0085263E"/>
    <w:rsid w:val="008527F7"/>
    <w:rsid w:val="0085306B"/>
    <w:rsid w:val="008535AC"/>
    <w:rsid w:val="00853831"/>
    <w:rsid w:val="00853FDF"/>
    <w:rsid w:val="008552AB"/>
    <w:rsid w:val="00855620"/>
    <w:rsid w:val="00855B08"/>
    <w:rsid w:val="00855B27"/>
    <w:rsid w:val="00855C63"/>
    <w:rsid w:val="00855E55"/>
    <w:rsid w:val="00857443"/>
    <w:rsid w:val="008574A1"/>
    <w:rsid w:val="008574CB"/>
    <w:rsid w:val="008576CA"/>
    <w:rsid w:val="00857A32"/>
    <w:rsid w:val="00857C33"/>
    <w:rsid w:val="008600F7"/>
    <w:rsid w:val="008602D0"/>
    <w:rsid w:val="008604DE"/>
    <w:rsid w:val="008606FF"/>
    <w:rsid w:val="0086070A"/>
    <w:rsid w:val="00860BFE"/>
    <w:rsid w:val="00860CD7"/>
    <w:rsid w:val="00861D2C"/>
    <w:rsid w:val="008623EF"/>
    <w:rsid w:val="0086285F"/>
    <w:rsid w:val="00862DEC"/>
    <w:rsid w:val="00863033"/>
    <w:rsid w:val="008631A4"/>
    <w:rsid w:val="008633BD"/>
    <w:rsid w:val="00863A37"/>
    <w:rsid w:val="00863AEF"/>
    <w:rsid w:val="00863C2A"/>
    <w:rsid w:val="00863E4F"/>
    <w:rsid w:val="008643EF"/>
    <w:rsid w:val="008647FB"/>
    <w:rsid w:val="00864B7B"/>
    <w:rsid w:val="00864BBF"/>
    <w:rsid w:val="008652EA"/>
    <w:rsid w:val="0086564B"/>
    <w:rsid w:val="00865746"/>
    <w:rsid w:val="00865AA2"/>
    <w:rsid w:val="00865B95"/>
    <w:rsid w:val="00865D8A"/>
    <w:rsid w:val="00866004"/>
    <w:rsid w:val="00866C5A"/>
    <w:rsid w:val="00867741"/>
    <w:rsid w:val="00867A16"/>
    <w:rsid w:val="00867C42"/>
    <w:rsid w:val="00867D2C"/>
    <w:rsid w:val="00867EDE"/>
    <w:rsid w:val="008702FA"/>
    <w:rsid w:val="00870B2E"/>
    <w:rsid w:val="00870CAE"/>
    <w:rsid w:val="00871B10"/>
    <w:rsid w:val="00872A08"/>
    <w:rsid w:val="00872E57"/>
    <w:rsid w:val="0087338B"/>
    <w:rsid w:val="0087392F"/>
    <w:rsid w:val="00873BCD"/>
    <w:rsid w:val="00873D39"/>
    <w:rsid w:val="00873D92"/>
    <w:rsid w:val="00873EED"/>
    <w:rsid w:val="00874022"/>
    <w:rsid w:val="0087428A"/>
    <w:rsid w:val="00874329"/>
    <w:rsid w:val="008749E2"/>
    <w:rsid w:val="00874B68"/>
    <w:rsid w:val="00874D91"/>
    <w:rsid w:val="00874DC4"/>
    <w:rsid w:val="0087546A"/>
    <w:rsid w:val="008755B1"/>
    <w:rsid w:val="008755BA"/>
    <w:rsid w:val="008755FA"/>
    <w:rsid w:val="00875746"/>
    <w:rsid w:val="00875A2D"/>
    <w:rsid w:val="00875B26"/>
    <w:rsid w:val="00875B44"/>
    <w:rsid w:val="00875F55"/>
    <w:rsid w:val="00875F9B"/>
    <w:rsid w:val="00876706"/>
    <w:rsid w:val="00876E3E"/>
    <w:rsid w:val="00880991"/>
    <w:rsid w:val="008810C2"/>
    <w:rsid w:val="00881115"/>
    <w:rsid w:val="00881E5A"/>
    <w:rsid w:val="00881EC5"/>
    <w:rsid w:val="0088343C"/>
    <w:rsid w:val="008834AF"/>
    <w:rsid w:val="00883965"/>
    <w:rsid w:val="008839E1"/>
    <w:rsid w:val="00884D0D"/>
    <w:rsid w:val="00884D1B"/>
    <w:rsid w:val="00884E1C"/>
    <w:rsid w:val="00884F98"/>
    <w:rsid w:val="00885159"/>
    <w:rsid w:val="0088533B"/>
    <w:rsid w:val="00885A24"/>
    <w:rsid w:val="00885CA2"/>
    <w:rsid w:val="0088635B"/>
    <w:rsid w:val="0088664F"/>
    <w:rsid w:val="008866F1"/>
    <w:rsid w:val="008901D6"/>
    <w:rsid w:val="00890573"/>
    <w:rsid w:val="00890696"/>
    <w:rsid w:val="00890B9F"/>
    <w:rsid w:val="00890E4E"/>
    <w:rsid w:val="00890EAD"/>
    <w:rsid w:val="0089120D"/>
    <w:rsid w:val="0089133C"/>
    <w:rsid w:val="0089153B"/>
    <w:rsid w:val="008915DB"/>
    <w:rsid w:val="00891D47"/>
    <w:rsid w:val="0089216B"/>
    <w:rsid w:val="00892F1C"/>
    <w:rsid w:val="00893328"/>
    <w:rsid w:val="00893A4C"/>
    <w:rsid w:val="00893CC2"/>
    <w:rsid w:val="00894119"/>
    <w:rsid w:val="0089559A"/>
    <w:rsid w:val="00895A41"/>
    <w:rsid w:val="00895D85"/>
    <w:rsid w:val="0089681F"/>
    <w:rsid w:val="00896922"/>
    <w:rsid w:val="00896BFD"/>
    <w:rsid w:val="008A0145"/>
    <w:rsid w:val="008A020E"/>
    <w:rsid w:val="008A02ED"/>
    <w:rsid w:val="008A054B"/>
    <w:rsid w:val="008A088F"/>
    <w:rsid w:val="008A08CD"/>
    <w:rsid w:val="008A0925"/>
    <w:rsid w:val="008A0EBD"/>
    <w:rsid w:val="008A0F75"/>
    <w:rsid w:val="008A1258"/>
    <w:rsid w:val="008A1574"/>
    <w:rsid w:val="008A1AE0"/>
    <w:rsid w:val="008A1EE5"/>
    <w:rsid w:val="008A20A6"/>
    <w:rsid w:val="008A24F6"/>
    <w:rsid w:val="008A2590"/>
    <w:rsid w:val="008A2706"/>
    <w:rsid w:val="008A28D3"/>
    <w:rsid w:val="008A2AE9"/>
    <w:rsid w:val="008A2D26"/>
    <w:rsid w:val="008A3451"/>
    <w:rsid w:val="008A35FF"/>
    <w:rsid w:val="008A3F52"/>
    <w:rsid w:val="008A43C7"/>
    <w:rsid w:val="008A50CE"/>
    <w:rsid w:val="008A529D"/>
    <w:rsid w:val="008A5F97"/>
    <w:rsid w:val="008A69EC"/>
    <w:rsid w:val="008A6A20"/>
    <w:rsid w:val="008A6BA6"/>
    <w:rsid w:val="008A6D81"/>
    <w:rsid w:val="008A7844"/>
    <w:rsid w:val="008A7B14"/>
    <w:rsid w:val="008A7BDD"/>
    <w:rsid w:val="008A7BF7"/>
    <w:rsid w:val="008B019A"/>
    <w:rsid w:val="008B0641"/>
    <w:rsid w:val="008B0948"/>
    <w:rsid w:val="008B09A2"/>
    <w:rsid w:val="008B0C67"/>
    <w:rsid w:val="008B0FF0"/>
    <w:rsid w:val="008B16C1"/>
    <w:rsid w:val="008B1FBB"/>
    <w:rsid w:val="008B2EDB"/>
    <w:rsid w:val="008B35AE"/>
    <w:rsid w:val="008B3BA2"/>
    <w:rsid w:val="008B4281"/>
    <w:rsid w:val="008B446B"/>
    <w:rsid w:val="008B5076"/>
    <w:rsid w:val="008B57DD"/>
    <w:rsid w:val="008B5AA6"/>
    <w:rsid w:val="008B5D06"/>
    <w:rsid w:val="008B6206"/>
    <w:rsid w:val="008B6215"/>
    <w:rsid w:val="008B64B5"/>
    <w:rsid w:val="008B6660"/>
    <w:rsid w:val="008B6CE2"/>
    <w:rsid w:val="008B7B53"/>
    <w:rsid w:val="008C005A"/>
    <w:rsid w:val="008C09A8"/>
    <w:rsid w:val="008C09E1"/>
    <w:rsid w:val="008C2555"/>
    <w:rsid w:val="008C272D"/>
    <w:rsid w:val="008C2862"/>
    <w:rsid w:val="008C3222"/>
    <w:rsid w:val="008C3F0C"/>
    <w:rsid w:val="008C3F22"/>
    <w:rsid w:val="008C47DC"/>
    <w:rsid w:val="008C4C8E"/>
    <w:rsid w:val="008C4C96"/>
    <w:rsid w:val="008C4E0A"/>
    <w:rsid w:val="008C4EC6"/>
    <w:rsid w:val="008C522D"/>
    <w:rsid w:val="008C5292"/>
    <w:rsid w:val="008C5AA0"/>
    <w:rsid w:val="008C5AAD"/>
    <w:rsid w:val="008C68A0"/>
    <w:rsid w:val="008C6EE7"/>
    <w:rsid w:val="008C7146"/>
    <w:rsid w:val="008C729A"/>
    <w:rsid w:val="008C7576"/>
    <w:rsid w:val="008C7800"/>
    <w:rsid w:val="008C7A97"/>
    <w:rsid w:val="008D05D3"/>
    <w:rsid w:val="008D0BD9"/>
    <w:rsid w:val="008D0C3B"/>
    <w:rsid w:val="008D0CC3"/>
    <w:rsid w:val="008D0E2D"/>
    <w:rsid w:val="008D2864"/>
    <w:rsid w:val="008D28C8"/>
    <w:rsid w:val="008D28E4"/>
    <w:rsid w:val="008D2C28"/>
    <w:rsid w:val="008D3090"/>
    <w:rsid w:val="008D31F9"/>
    <w:rsid w:val="008D3496"/>
    <w:rsid w:val="008D418E"/>
    <w:rsid w:val="008D44CE"/>
    <w:rsid w:val="008D555A"/>
    <w:rsid w:val="008D5863"/>
    <w:rsid w:val="008D5BB0"/>
    <w:rsid w:val="008D671C"/>
    <w:rsid w:val="008D7AE8"/>
    <w:rsid w:val="008E00D4"/>
    <w:rsid w:val="008E12D1"/>
    <w:rsid w:val="008E138B"/>
    <w:rsid w:val="008E2485"/>
    <w:rsid w:val="008E2793"/>
    <w:rsid w:val="008E2B40"/>
    <w:rsid w:val="008E2B97"/>
    <w:rsid w:val="008E41BE"/>
    <w:rsid w:val="008E42BC"/>
    <w:rsid w:val="008E448B"/>
    <w:rsid w:val="008E4C8A"/>
    <w:rsid w:val="008E5562"/>
    <w:rsid w:val="008E57BB"/>
    <w:rsid w:val="008E58E0"/>
    <w:rsid w:val="008E5BE7"/>
    <w:rsid w:val="008E6873"/>
    <w:rsid w:val="008E6F73"/>
    <w:rsid w:val="008E718A"/>
    <w:rsid w:val="008E7F34"/>
    <w:rsid w:val="008F0558"/>
    <w:rsid w:val="008F0B64"/>
    <w:rsid w:val="008F13AA"/>
    <w:rsid w:val="008F16D8"/>
    <w:rsid w:val="008F1964"/>
    <w:rsid w:val="008F2937"/>
    <w:rsid w:val="008F310B"/>
    <w:rsid w:val="008F312B"/>
    <w:rsid w:val="008F3BC7"/>
    <w:rsid w:val="008F4B0E"/>
    <w:rsid w:val="008F5B9C"/>
    <w:rsid w:val="008F5BF1"/>
    <w:rsid w:val="008F5CE5"/>
    <w:rsid w:val="008F6C28"/>
    <w:rsid w:val="008F6DBD"/>
    <w:rsid w:val="008F7614"/>
    <w:rsid w:val="0090024C"/>
    <w:rsid w:val="00900528"/>
    <w:rsid w:val="00900BF2"/>
    <w:rsid w:val="00900C51"/>
    <w:rsid w:val="00900DF8"/>
    <w:rsid w:val="00900E69"/>
    <w:rsid w:val="009011A8"/>
    <w:rsid w:val="00901C0F"/>
    <w:rsid w:val="00902330"/>
    <w:rsid w:val="00902DBD"/>
    <w:rsid w:val="00903CA8"/>
    <w:rsid w:val="00904836"/>
    <w:rsid w:val="00904B57"/>
    <w:rsid w:val="0090566D"/>
    <w:rsid w:val="00905F05"/>
    <w:rsid w:val="0090654E"/>
    <w:rsid w:val="009069A8"/>
    <w:rsid w:val="00906EA8"/>
    <w:rsid w:val="00907495"/>
    <w:rsid w:val="00907C8A"/>
    <w:rsid w:val="00907D2C"/>
    <w:rsid w:val="00910021"/>
    <w:rsid w:val="00910593"/>
    <w:rsid w:val="00910DD2"/>
    <w:rsid w:val="00910E4F"/>
    <w:rsid w:val="00910F6D"/>
    <w:rsid w:val="00911402"/>
    <w:rsid w:val="009114C4"/>
    <w:rsid w:val="00911501"/>
    <w:rsid w:val="00912907"/>
    <w:rsid w:val="00913021"/>
    <w:rsid w:val="00913488"/>
    <w:rsid w:val="00913584"/>
    <w:rsid w:val="00914478"/>
    <w:rsid w:val="00914C5A"/>
    <w:rsid w:val="00914EFF"/>
    <w:rsid w:val="009159CA"/>
    <w:rsid w:val="0091735F"/>
    <w:rsid w:val="00917B45"/>
    <w:rsid w:val="00920327"/>
    <w:rsid w:val="00920781"/>
    <w:rsid w:val="00921549"/>
    <w:rsid w:val="0092244C"/>
    <w:rsid w:val="00922E47"/>
    <w:rsid w:val="00923175"/>
    <w:rsid w:val="00923940"/>
    <w:rsid w:val="00923AEA"/>
    <w:rsid w:val="00924B4E"/>
    <w:rsid w:val="00924F28"/>
    <w:rsid w:val="00925007"/>
    <w:rsid w:val="00925656"/>
    <w:rsid w:val="00926D1B"/>
    <w:rsid w:val="009270FD"/>
    <w:rsid w:val="009274B9"/>
    <w:rsid w:val="009276A0"/>
    <w:rsid w:val="00930142"/>
    <w:rsid w:val="009305B9"/>
    <w:rsid w:val="009305C5"/>
    <w:rsid w:val="00931203"/>
    <w:rsid w:val="009316AB"/>
    <w:rsid w:val="00931836"/>
    <w:rsid w:val="00931B59"/>
    <w:rsid w:val="00931B6B"/>
    <w:rsid w:val="00932A26"/>
    <w:rsid w:val="00932A6C"/>
    <w:rsid w:val="009330CB"/>
    <w:rsid w:val="00933230"/>
    <w:rsid w:val="00933DB2"/>
    <w:rsid w:val="00933F29"/>
    <w:rsid w:val="0093407C"/>
    <w:rsid w:val="009341B8"/>
    <w:rsid w:val="00934BF9"/>
    <w:rsid w:val="00935022"/>
    <w:rsid w:val="0093538F"/>
    <w:rsid w:val="0093547B"/>
    <w:rsid w:val="0093562E"/>
    <w:rsid w:val="0093578C"/>
    <w:rsid w:val="00935B9D"/>
    <w:rsid w:val="009360B6"/>
    <w:rsid w:val="00936314"/>
    <w:rsid w:val="00936792"/>
    <w:rsid w:val="00936918"/>
    <w:rsid w:val="009370A4"/>
    <w:rsid w:val="00937757"/>
    <w:rsid w:val="0093784B"/>
    <w:rsid w:val="0094012F"/>
    <w:rsid w:val="009407AD"/>
    <w:rsid w:val="0094085A"/>
    <w:rsid w:val="00940B87"/>
    <w:rsid w:val="00940C9C"/>
    <w:rsid w:val="00940E88"/>
    <w:rsid w:val="009411FB"/>
    <w:rsid w:val="00941258"/>
    <w:rsid w:val="00941558"/>
    <w:rsid w:val="009419C9"/>
    <w:rsid w:val="00941E46"/>
    <w:rsid w:val="009420FD"/>
    <w:rsid w:val="0094254D"/>
    <w:rsid w:val="00942D09"/>
    <w:rsid w:val="00942D1A"/>
    <w:rsid w:val="0094379C"/>
    <w:rsid w:val="009442B4"/>
    <w:rsid w:val="00945017"/>
    <w:rsid w:val="009455CC"/>
    <w:rsid w:val="00945BBE"/>
    <w:rsid w:val="00946189"/>
    <w:rsid w:val="00946194"/>
    <w:rsid w:val="00946255"/>
    <w:rsid w:val="0094681A"/>
    <w:rsid w:val="00946821"/>
    <w:rsid w:val="0094731D"/>
    <w:rsid w:val="00947EF4"/>
    <w:rsid w:val="009507EE"/>
    <w:rsid w:val="00950C25"/>
    <w:rsid w:val="00950E12"/>
    <w:rsid w:val="00951039"/>
    <w:rsid w:val="00951CFF"/>
    <w:rsid w:val="00951E83"/>
    <w:rsid w:val="009529EF"/>
    <w:rsid w:val="00952FEE"/>
    <w:rsid w:val="0095318D"/>
    <w:rsid w:val="009536A9"/>
    <w:rsid w:val="00953CFD"/>
    <w:rsid w:val="00954CC3"/>
    <w:rsid w:val="00955E78"/>
    <w:rsid w:val="00956441"/>
    <w:rsid w:val="00956623"/>
    <w:rsid w:val="009566DD"/>
    <w:rsid w:val="00956810"/>
    <w:rsid w:val="009571B6"/>
    <w:rsid w:val="009579F4"/>
    <w:rsid w:val="00957A6E"/>
    <w:rsid w:val="009606DE"/>
    <w:rsid w:val="00961428"/>
    <w:rsid w:val="00961F8C"/>
    <w:rsid w:val="00962405"/>
    <w:rsid w:val="0096371B"/>
    <w:rsid w:val="00963F67"/>
    <w:rsid w:val="00964387"/>
    <w:rsid w:val="00964B9B"/>
    <w:rsid w:val="0096520F"/>
    <w:rsid w:val="009658D3"/>
    <w:rsid w:val="00965FC4"/>
    <w:rsid w:val="00966373"/>
    <w:rsid w:val="009663E4"/>
    <w:rsid w:val="0096691D"/>
    <w:rsid w:val="00966B8B"/>
    <w:rsid w:val="00966D48"/>
    <w:rsid w:val="00967449"/>
    <w:rsid w:val="00967C04"/>
    <w:rsid w:val="00967DC0"/>
    <w:rsid w:val="00970156"/>
    <w:rsid w:val="009701A0"/>
    <w:rsid w:val="00970696"/>
    <w:rsid w:val="00970EE0"/>
    <w:rsid w:val="009715CE"/>
    <w:rsid w:val="00971A40"/>
    <w:rsid w:val="009723FF"/>
    <w:rsid w:val="0097245E"/>
    <w:rsid w:val="0097284A"/>
    <w:rsid w:val="00973B98"/>
    <w:rsid w:val="00974051"/>
    <w:rsid w:val="00974325"/>
    <w:rsid w:val="009744D9"/>
    <w:rsid w:val="00974504"/>
    <w:rsid w:val="009746E7"/>
    <w:rsid w:val="00974A83"/>
    <w:rsid w:val="00974CDB"/>
    <w:rsid w:val="00975160"/>
    <w:rsid w:val="00975F4C"/>
    <w:rsid w:val="009761FB"/>
    <w:rsid w:val="009766B2"/>
    <w:rsid w:val="0097779B"/>
    <w:rsid w:val="009779F7"/>
    <w:rsid w:val="009800E9"/>
    <w:rsid w:val="00980938"/>
    <w:rsid w:val="00980A59"/>
    <w:rsid w:val="00980B80"/>
    <w:rsid w:val="00980D85"/>
    <w:rsid w:val="0098145D"/>
    <w:rsid w:val="00981ECF"/>
    <w:rsid w:val="00981FE0"/>
    <w:rsid w:val="00982100"/>
    <w:rsid w:val="00982416"/>
    <w:rsid w:val="009826D8"/>
    <w:rsid w:val="009828CF"/>
    <w:rsid w:val="009831F5"/>
    <w:rsid w:val="00983A44"/>
    <w:rsid w:val="00983BBD"/>
    <w:rsid w:val="00984482"/>
    <w:rsid w:val="00984E64"/>
    <w:rsid w:val="00985357"/>
    <w:rsid w:val="00985708"/>
    <w:rsid w:val="009865A9"/>
    <w:rsid w:val="00987379"/>
    <w:rsid w:val="009879A2"/>
    <w:rsid w:val="00987C09"/>
    <w:rsid w:val="009901EB"/>
    <w:rsid w:val="00990206"/>
    <w:rsid w:val="00990A0F"/>
    <w:rsid w:val="00990A21"/>
    <w:rsid w:val="00990A27"/>
    <w:rsid w:val="00990DBB"/>
    <w:rsid w:val="00990F1E"/>
    <w:rsid w:val="009910F4"/>
    <w:rsid w:val="00991229"/>
    <w:rsid w:val="00991788"/>
    <w:rsid w:val="00991D61"/>
    <w:rsid w:val="00991D9B"/>
    <w:rsid w:val="00992293"/>
    <w:rsid w:val="0099277A"/>
    <w:rsid w:val="00992F52"/>
    <w:rsid w:val="0099300B"/>
    <w:rsid w:val="009933FB"/>
    <w:rsid w:val="0099371C"/>
    <w:rsid w:val="009941F0"/>
    <w:rsid w:val="00994BD8"/>
    <w:rsid w:val="00995701"/>
    <w:rsid w:val="00995F64"/>
    <w:rsid w:val="0099751D"/>
    <w:rsid w:val="009978C4"/>
    <w:rsid w:val="009978D2"/>
    <w:rsid w:val="00997DAB"/>
    <w:rsid w:val="00997F30"/>
    <w:rsid w:val="009A0FD3"/>
    <w:rsid w:val="009A0FF4"/>
    <w:rsid w:val="009A152A"/>
    <w:rsid w:val="009A16FB"/>
    <w:rsid w:val="009A1E67"/>
    <w:rsid w:val="009A1F2A"/>
    <w:rsid w:val="009A23A1"/>
    <w:rsid w:val="009A2481"/>
    <w:rsid w:val="009A27A0"/>
    <w:rsid w:val="009A3FAA"/>
    <w:rsid w:val="009A42E0"/>
    <w:rsid w:val="009A4711"/>
    <w:rsid w:val="009A5F49"/>
    <w:rsid w:val="009A604F"/>
    <w:rsid w:val="009A6106"/>
    <w:rsid w:val="009A66B5"/>
    <w:rsid w:val="009A6967"/>
    <w:rsid w:val="009A6FD1"/>
    <w:rsid w:val="009A70CA"/>
    <w:rsid w:val="009A7A92"/>
    <w:rsid w:val="009A7FA9"/>
    <w:rsid w:val="009B01B0"/>
    <w:rsid w:val="009B08A3"/>
    <w:rsid w:val="009B0CF0"/>
    <w:rsid w:val="009B1304"/>
    <w:rsid w:val="009B1378"/>
    <w:rsid w:val="009B25FF"/>
    <w:rsid w:val="009B2975"/>
    <w:rsid w:val="009B2FBA"/>
    <w:rsid w:val="009B36DC"/>
    <w:rsid w:val="009B5125"/>
    <w:rsid w:val="009B60EF"/>
    <w:rsid w:val="009B71C7"/>
    <w:rsid w:val="009B749A"/>
    <w:rsid w:val="009B7F90"/>
    <w:rsid w:val="009C0478"/>
    <w:rsid w:val="009C0644"/>
    <w:rsid w:val="009C07BC"/>
    <w:rsid w:val="009C148F"/>
    <w:rsid w:val="009C14D3"/>
    <w:rsid w:val="009C160A"/>
    <w:rsid w:val="009C1B4B"/>
    <w:rsid w:val="009C1CE5"/>
    <w:rsid w:val="009C1CFE"/>
    <w:rsid w:val="009C1EA6"/>
    <w:rsid w:val="009C25A0"/>
    <w:rsid w:val="009C2BFF"/>
    <w:rsid w:val="009C2CAF"/>
    <w:rsid w:val="009C2E3B"/>
    <w:rsid w:val="009C2F9B"/>
    <w:rsid w:val="009C302D"/>
    <w:rsid w:val="009C309E"/>
    <w:rsid w:val="009C3507"/>
    <w:rsid w:val="009C3878"/>
    <w:rsid w:val="009C3E71"/>
    <w:rsid w:val="009C46C1"/>
    <w:rsid w:val="009C480B"/>
    <w:rsid w:val="009C4E0A"/>
    <w:rsid w:val="009C5674"/>
    <w:rsid w:val="009C58A6"/>
    <w:rsid w:val="009C5F6D"/>
    <w:rsid w:val="009C6AEF"/>
    <w:rsid w:val="009C6B26"/>
    <w:rsid w:val="009C6E64"/>
    <w:rsid w:val="009C704E"/>
    <w:rsid w:val="009C7402"/>
    <w:rsid w:val="009C7638"/>
    <w:rsid w:val="009C77D5"/>
    <w:rsid w:val="009D0035"/>
    <w:rsid w:val="009D0FB9"/>
    <w:rsid w:val="009D1094"/>
    <w:rsid w:val="009D169B"/>
    <w:rsid w:val="009D1A9B"/>
    <w:rsid w:val="009D1D64"/>
    <w:rsid w:val="009D1E9B"/>
    <w:rsid w:val="009D2E52"/>
    <w:rsid w:val="009D3711"/>
    <w:rsid w:val="009D3A05"/>
    <w:rsid w:val="009D4408"/>
    <w:rsid w:val="009D491F"/>
    <w:rsid w:val="009D5BC2"/>
    <w:rsid w:val="009D6BF4"/>
    <w:rsid w:val="009D6DE6"/>
    <w:rsid w:val="009D7881"/>
    <w:rsid w:val="009D79E3"/>
    <w:rsid w:val="009D79F6"/>
    <w:rsid w:val="009E010A"/>
    <w:rsid w:val="009E0A73"/>
    <w:rsid w:val="009E1D27"/>
    <w:rsid w:val="009E253D"/>
    <w:rsid w:val="009E273E"/>
    <w:rsid w:val="009E2C7F"/>
    <w:rsid w:val="009E339C"/>
    <w:rsid w:val="009E3A05"/>
    <w:rsid w:val="009E3C76"/>
    <w:rsid w:val="009E3F9A"/>
    <w:rsid w:val="009E41E9"/>
    <w:rsid w:val="009E64EE"/>
    <w:rsid w:val="009E65D3"/>
    <w:rsid w:val="009E6EAA"/>
    <w:rsid w:val="009E6F89"/>
    <w:rsid w:val="009E733E"/>
    <w:rsid w:val="009E7C4D"/>
    <w:rsid w:val="009F01FC"/>
    <w:rsid w:val="009F020D"/>
    <w:rsid w:val="009F0863"/>
    <w:rsid w:val="009F0AB6"/>
    <w:rsid w:val="009F0F68"/>
    <w:rsid w:val="009F124D"/>
    <w:rsid w:val="009F192D"/>
    <w:rsid w:val="009F1B65"/>
    <w:rsid w:val="009F1C1B"/>
    <w:rsid w:val="009F1D4F"/>
    <w:rsid w:val="009F230F"/>
    <w:rsid w:val="009F2625"/>
    <w:rsid w:val="009F2726"/>
    <w:rsid w:val="009F27F5"/>
    <w:rsid w:val="009F2863"/>
    <w:rsid w:val="009F29F6"/>
    <w:rsid w:val="009F3E98"/>
    <w:rsid w:val="009F4106"/>
    <w:rsid w:val="009F5430"/>
    <w:rsid w:val="009F57C1"/>
    <w:rsid w:val="009F6699"/>
    <w:rsid w:val="009F6899"/>
    <w:rsid w:val="009F68DF"/>
    <w:rsid w:val="009F70D9"/>
    <w:rsid w:val="00A0064D"/>
    <w:rsid w:val="00A009EC"/>
    <w:rsid w:val="00A01DCF"/>
    <w:rsid w:val="00A02596"/>
    <w:rsid w:val="00A02655"/>
    <w:rsid w:val="00A03017"/>
    <w:rsid w:val="00A0334D"/>
    <w:rsid w:val="00A03A04"/>
    <w:rsid w:val="00A0487D"/>
    <w:rsid w:val="00A048EE"/>
    <w:rsid w:val="00A0491B"/>
    <w:rsid w:val="00A05228"/>
    <w:rsid w:val="00A0528C"/>
    <w:rsid w:val="00A05640"/>
    <w:rsid w:val="00A05F18"/>
    <w:rsid w:val="00A05F5A"/>
    <w:rsid w:val="00A063C5"/>
    <w:rsid w:val="00A06C09"/>
    <w:rsid w:val="00A07592"/>
    <w:rsid w:val="00A07DC0"/>
    <w:rsid w:val="00A10765"/>
    <w:rsid w:val="00A11E23"/>
    <w:rsid w:val="00A11F13"/>
    <w:rsid w:val="00A12162"/>
    <w:rsid w:val="00A13260"/>
    <w:rsid w:val="00A13938"/>
    <w:rsid w:val="00A140C6"/>
    <w:rsid w:val="00A14D13"/>
    <w:rsid w:val="00A14E8B"/>
    <w:rsid w:val="00A14FD3"/>
    <w:rsid w:val="00A152C7"/>
    <w:rsid w:val="00A155F7"/>
    <w:rsid w:val="00A156A1"/>
    <w:rsid w:val="00A15DA6"/>
    <w:rsid w:val="00A16588"/>
    <w:rsid w:val="00A16C2E"/>
    <w:rsid w:val="00A16FED"/>
    <w:rsid w:val="00A1717F"/>
    <w:rsid w:val="00A175E7"/>
    <w:rsid w:val="00A1764A"/>
    <w:rsid w:val="00A2021D"/>
    <w:rsid w:val="00A2024B"/>
    <w:rsid w:val="00A202BD"/>
    <w:rsid w:val="00A203EF"/>
    <w:rsid w:val="00A20674"/>
    <w:rsid w:val="00A208C2"/>
    <w:rsid w:val="00A20A1F"/>
    <w:rsid w:val="00A20F4C"/>
    <w:rsid w:val="00A2134D"/>
    <w:rsid w:val="00A219C4"/>
    <w:rsid w:val="00A21A8E"/>
    <w:rsid w:val="00A225D7"/>
    <w:rsid w:val="00A22E7C"/>
    <w:rsid w:val="00A23153"/>
    <w:rsid w:val="00A23D23"/>
    <w:rsid w:val="00A2405E"/>
    <w:rsid w:val="00A24147"/>
    <w:rsid w:val="00A245F6"/>
    <w:rsid w:val="00A248ED"/>
    <w:rsid w:val="00A25C50"/>
    <w:rsid w:val="00A25DA2"/>
    <w:rsid w:val="00A26655"/>
    <w:rsid w:val="00A26BF0"/>
    <w:rsid w:val="00A2712F"/>
    <w:rsid w:val="00A275A9"/>
    <w:rsid w:val="00A30125"/>
    <w:rsid w:val="00A3028B"/>
    <w:rsid w:val="00A30A7A"/>
    <w:rsid w:val="00A3156F"/>
    <w:rsid w:val="00A31BF3"/>
    <w:rsid w:val="00A31CFF"/>
    <w:rsid w:val="00A3264C"/>
    <w:rsid w:val="00A32C8A"/>
    <w:rsid w:val="00A32CF2"/>
    <w:rsid w:val="00A32F8C"/>
    <w:rsid w:val="00A33153"/>
    <w:rsid w:val="00A33525"/>
    <w:rsid w:val="00A33870"/>
    <w:rsid w:val="00A338BA"/>
    <w:rsid w:val="00A33E71"/>
    <w:rsid w:val="00A34225"/>
    <w:rsid w:val="00A34725"/>
    <w:rsid w:val="00A352C5"/>
    <w:rsid w:val="00A35504"/>
    <w:rsid w:val="00A35547"/>
    <w:rsid w:val="00A35A07"/>
    <w:rsid w:val="00A35AAD"/>
    <w:rsid w:val="00A368DC"/>
    <w:rsid w:val="00A379D5"/>
    <w:rsid w:val="00A37B2E"/>
    <w:rsid w:val="00A4005A"/>
    <w:rsid w:val="00A40AE2"/>
    <w:rsid w:val="00A40FD0"/>
    <w:rsid w:val="00A411F5"/>
    <w:rsid w:val="00A412B1"/>
    <w:rsid w:val="00A4166A"/>
    <w:rsid w:val="00A41871"/>
    <w:rsid w:val="00A4194D"/>
    <w:rsid w:val="00A42044"/>
    <w:rsid w:val="00A42062"/>
    <w:rsid w:val="00A42160"/>
    <w:rsid w:val="00A42DCA"/>
    <w:rsid w:val="00A42FF4"/>
    <w:rsid w:val="00A4320C"/>
    <w:rsid w:val="00A437F7"/>
    <w:rsid w:val="00A439BF"/>
    <w:rsid w:val="00A43A0D"/>
    <w:rsid w:val="00A443B5"/>
    <w:rsid w:val="00A4495A"/>
    <w:rsid w:val="00A44B4E"/>
    <w:rsid w:val="00A44F19"/>
    <w:rsid w:val="00A44FDA"/>
    <w:rsid w:val="00A4512B"/>
    <w:rsid w:val="00A460A3"/>
    <w:rsid w:val="00A4665F"/>
    <w:rsid w:val="00A470C1"/>
    <w:rsid w:val="00A47110"/>
    <w:rsid w:val="00A4713E"/>
    <w:rsid w:val="00A4717E"/>
    <w:rsid w:val="00A47293"/>
    <w:rsid w:val="00A47632"/>
    <w:rsid w:val="00A476DC"/>
    <w:rsid w:val="00A47E2F"/>
    <w:rsid w:val="00A47E8E"/>
    <w:rsid w:val="00A50434"/>
    <w:rsid w:val="00A50B0C"/>
    <w:rsid w:val="00A51720"/>
    <w:rsid w:val="00A51754"/>
    <w:rsid w:val="00A519D5"/>
    <w:rsid w:val="00A521FE"/>
    <w:rsid w:val="00A5281F"/>
    <w:rsid w:val="00A5284D"/>
    <w:rsid w:val="00A528E0"/>
    <w:rsid w:val="00A52BEF"/>
    <w:rsid w:val="00A52D25"/>
    <w:rsid w:val="00A53772"/>
    <w:rsid w:val="00A54AB6"/>
    <w:rsid w:val="00A55156"/>
    <w:rsid w:val="00A5598E"/>
    <w:rsid w:val="00A5606F"/>
    <w:rsid w:val="00A56233"/>
    <w:rsid w:val="00A56729"/>
    <w:rsid w:val="00A56ACB"/>
    <w:rsid w:val="00A56C03"/>
    <w:rsid w:val="00A56C18"/>
    <w:rsid w:val="00A57769"/>
    <w:rsid w:val="00A578BA"/>
    <w:rsid w:val="00A57B46"/>
    <w:rsid w:val="00A57D41"/>
    <w:rsid w:val="00A57F7C"/>
    <w:rsid w:val="00A604A5"/>
    <w:rsid w:val="00A604BC"/>
    <w:rsid w:val="00A60FFD"/>
    <w:rsid w:val="00A61052"/>
    <w:rsid w:val="00A61163"/>
    <w:rsid w:val="00A617FE"/>
    <w:rsid w:val="00A6189D"/>
    <w:rsid w:val="00A61D5A"/>
    <w:rsid w:val="00A62A2A"/>
    <w:rsid w:val="00A62DD9"/>
    <w:rsid w:val="00A62FB6"/>
    <w:rsid w:val="00A6358C"/>
    <w:rsid w:val="00A63ABB"/>
    <w:rsid w:val="00A63BAB"/>
    <w:rsid w:val="00A6430B"/>
    <w:rsid w:val="00A64C67"/>
    <w:rsid w:val="00A64E6A"/>
    <w:rsid w:val="00A64F63"/>
    <w:rsid w:val="00A6579C"/>
    <w:rsid w:val="00A658F3"/>
    <w:rsid w:val="00A669C0"/>
    <w:rsid w:val="00A67059"/>
    <w:rsid w:val="00A67336"/>
    <w:rsid w:val="00A67738"/>
    <w:rsid w:val="00A6790C"/>
    <w:rsid w:val="00A70383"/>
    <w:rsid w:val="00A70619"/>
    <w:rsid w:val="00A70DED"/>
    <w:rsid w:val="00A71235"/>
    <w:rsid w:val="00A71565"/>
    <w:rsid w:val="00A71680"/>
    <w:rsid w:val="00A71880"/>
    <w:rsid w:val="00A724D3"/>
    <w:rsid w:val="00A726A1"/>
    <w:rsid w:val="00A72FAA"/>
    <w:rsid w:val="00A730AA"/>
    <w:rsid w:val="00A732A9"/>
    <w:rsid w:val="00A734C4"/>
    <w:rsid w:val="00A7362D"/>
    <w:rsid w:val="00A73770"/>
    <w:rsid w:val="00A73C51"/>
    <w:rsid w:val="00A73E08"/>
    <w:rsid w:val="00A75899"/>
    <w:rsid w:val="00A75CC2"/>
    <w:rsid w:val="00A76444"/>
    <w:rsid w:val="00A767A4"/>
    <w:rsid w:val="00A774C8"/>
    <w:rsid w:val="00A776DE"/>
    <w:rsid w:val="00A779E9"/>
    <w:rsid w:val="00A77A17"/>
    <w:rsid w:val="00A80926"/>
    <w:rsid w:val="00A80A67"/>
    <w:rsid w:val="00A80AA6"/>
    <w:rsid w:val="00A80D59"/>
    <w:rsid w:val="00A81A1F"/>
    <w:rsid w:val="00A82332"/>
    <w:rsid w:val="00A82A19"/>
    <w:rsid w:val="00A836BB"/>
    <w:rsid w:val="00A836DC"/>
    <w:rsid w:val="00A838C4"/>
    <w:rsid w:val="00A839CC"/>
    <w:rsid w:val="00A83CE5"/>
    <w:rsid w:val="00A83F3F"/>
    <w:rsid w:val="00A84384"/>
    <w:rsid w:val="00A84FF5"/>
    <w:rsid w:val="00A85954"/>
    <w:rsid w:val="00A85A76"/>
    <w:rsid w:val="00A85E46"/>
    <w:rsid w:val="00A868C8"/>
    <w:rsid w:val="00A86A6B"/>
    <w:rsid w:val="00A874F1"/>
    <w:rsid w:val="00A8769B"/>
    <w:rsid w:val="00A87D34"/>
    <w:rsid w:val="00A9060F"/>
    <w:rsid w:val="00A91125"/>
    <w:rsid w:val="00A911E7"/>
    <w:rsid w:val="00A91581"/>
    <w:rsid w:val="00A91ACB"/>
    <w:rsid w:val="00A92379"/>
    <w:rsid w:val="00A92403"/>
    <w:rsid w:val="00A92C3B"/>
    <w:rsid w:val="00A93187"/>
    <w:rsid w:val="00A93295"/>
    <w:rsid w:val="00A933B6"/>
    <w:rsid w:val="00A93E28"/>
    <w:rsid w:val="00A93EF7"/>
    <w:rsid w:val="00A94251"/>
    <w:rsid w:val="00A949F2"/>
    <w:rsid w:val="00A94D48"/>
    <w:rsid w:val="00A9576C"/>
    <w:rsid w:val="00A9643D"/>
    <w:rsid w:val="00A96B25"/>
    <w:rsid w:val="00A96EA6"/>
    <w:rsid w:val="00A96F55"/>
    <w:rsid w:val="00AA0751"/>
    <w:rsid w:val="00AA0C81"/>
    <w:rsid w:val="00AA10E5"/>
    <w:rsid w:val="00AA1229"/>
    <w:rsid w:val="00AA164D"/>
    <w:rsid w:val="00AA19C8"/>
    <w:rsid w:val="00AA1A06"/>
    <w:rsid w:val="00AA1A0D"/>
    <w:rsid w:val="00AA1B5B"/>
    <w:rsid w:val="00AA1C96"/>
    <w:rsid w:val="00AA230C"/>
    <w:rsid w:val="00AA26FE"/>
    <w:rsid w:val="00AA2E69"/>
    <w:rsid w:val="00AA3108"/>
    <w:rsid w:val="00AA3148"/>
    <w:rsid w:val="00AA483D"/>
    <w:rsid w:val="00AA4ACB"/>
    <w:rsid w:val="00AA4BA7"/>
    <w:rsid w:val="00AA4BD3"/>
    <w:rsid w:val="00AA4CD0"/>
    <w:rsid w:val="00AA5A70"/>
    <w:rsid w:val="00AA6116"/>
    <w:rsid w:val="00AA65F6"/>
    <w:rsid w:val="00AA76B0"/>
    <w:rsid w:val="00AB0178"/>
    <w:rsid w:val="00AB1301"/>
    <w:rsid w:val="00AB16A4"/>
    <w:rsid w:val="00AB2057"/>
    <w:rsid w:val="00AB2CD7"/>
    <w:rsid w:val="00AB2D7F"/>
    <w:rsid w:val="00AB309F"/>
    <w:rsid w:val="00AB3119"/>
    <w:rsid w:val="00AB3493"/>
    <w:rsid w:val="00AB4122"/>
    <w:rsid w:val="00AB4839"/>
    <w:rsid w:val="00AB4A49"/>
    <w:rsid w:val="00AB5545"/>
    <w:rsid w:val="00AB67BE"/>
    <w:rsid w:val="00AB74E9"/>
    <w:rsid w:val="00AB7FDE"/>
    <w:rsid w:val="00AC0100"/>
    <w:rsid w:val="00AC029A"/>
    <w:rsid w:val="00AC0545"/>
    <w:rsid w:val="00AC06EC"/>
    <w:rsid w:val="00AC06F3"/>
    <w:rsid w:val="00AC0E25"/>
    <w:rsid w:val="00AC1137"/>
    <w:rsid w:val="00AC1B9F"/>
    <w:rsid w:val="00AC1F08"/>
    <w:rsid w:val="00AC1F44"/>
    <w:rsid w:val="00AC2085"/>
    <w:rsid w:val="00AC2125"/>
    <w:rsid w:val="00AC223F"/>
    <w:rsid w:val="00AC256D"/>
    <w:rsid w:val="00AC258E"/>
    <w:rsid w:val="00AC2AFC"/>
    <w:rsid w:val="00AC2E81"/>
    <w:rsid w:val="00AC3127"/>
    <w:rsid w:val="00AC3600"/>
    <w:rsid w:val="00AC3792"/>
    <w:rsid w:val="00AC3BAD"/>
    <w:rsid w:val="00AC41FC"/>
    <w:rsid w:val="00AC53AF"/>
    <w:rsid w:val="00AC603B"/>
    <w:rsid w:val="00AC60A8"/>
    <w:rsid w:val="00AC6256"/>
    <w:rsid w:val="00AC6919"/>
    <w:rsid w:val="00AC7E53"/>
    <w:rsid w:val="00AD001D"/>
    <w:rsid w:val="00AD060C"/>
    <w:rsid w:val="00AD076E"/>
    <w:rsid w:val="00AD0CE6"/>
    <w:rsid w:val="00AD105F"/>
    <w:rsid w:val="00AD16A1"/>
    <w:rsid w:val="00AD1B54"/>
    <w:rsid w:val="00AD1F65"/>
    <w:rsid w:val="00AD234B"/>
    <w:rsid w:val="00AD277B"/>
    <w:rsid w:val="00AD2801"/>
    <w:rsid w:val="00AD2AF5"/>
    <w:rsid w:val="00AD2E98"/>
    <w:rsid w:val="00AD403A"/>
    <w:rsid w:val="00AD45A8"/>
    <w:rsid w:val="00AD4CAB"/>
    <w:rsid w:val="00AD5D49"/>
    <w:rsid w:val="00AD5DE7"/>
    <w:rsid w:val="00AD6014"/>
    <w:rsid w:val="00AD6486"/>
    <w:rsid w:val="00AD6601"/>
    <w:rsid w:val="00AD6696"/>
    <w:rsid w:val="00AD6CA2"/>
    <w:rsid w:val="00AD709B"/>
    <w:rsid w:val="00AD71CF"/>
    <w:rsid w:val="00AD73BA"/>
    <w:rsid w:val="00AD7690"/>
    <w:rsid w:val="00AD79A9"/>
    <w:rsid w:val="00AE0647"/>
    <w:rsid w:val="00AE0AA7"/>
    <w:rsid w:val="00AE1936"/>
    <w:rsid w:val="00AE2515"/>
    <w:rsid w:val="00AE265F"/>
    <w:rsid w:val="00AE28E3"/>
    <w:rsid w:val="00AE2954"/>
    <w:rsid w:val="00AE2EB6"/>
    <w:rsid w:val="00AE30C3"/>
    <w:rsid w:val="00AE310F"/>
    <w:rsid w:val="00AE3B37"/>
    <w:rsid w:val="00AE3D19"/>
    <w:rsid w:val="00AE3FA4"/>
    <w:rsid w:val="00AE3FBE"/>
    <w:rsid w:val="00AE52EE"/>
    <w:rsid w:val="00AE5F93"/>
    <w:rsid w:val="00AE646F"/>
    <w:rsid w:val="00AE69C3"/>
    <w:rsid w:val="00AE6FCF"/>
    <w:rsid w:val="00AE7CE0"/>
    <w:rsid w:val="00AF0253"/>
    <w:rsid w:val="00AF0F93"/>
    <w:rsid w:val="00AF18E0"/>
    <w:rsid w:val="00AF29C4"/>
    <w:rsid w:val="00AF2C05"/>
    <w:rsid w:val="00AF31A2"/>
    <w:rsid w:val="00AF3211"/>
    <w:rsid w:val="00AF326A"/>
    <w:rsid w:val="00AF3B0C"/>
    <w:rsid w:val="00AF418D"/>
    <w:rsid w:val="00AF454B"/>
    <w:rsid w:val="00AF4EED"/>
    <w:rsid w:val="00AF4FF7"/>
    <w:rsid w:val="00AF5699"/>
    <w:rsid w:val="00AF58F6"/>
    <w:rsid w:val="00AF5BEC"/>
    <w:rsid w:val="00AF5C15"/>
    <w:rsid w:val="00AF6016"/>
    <w:rsid w:val="00AF657F"/>
    <w:rsid w:val="00AF6BE4"/>
    <w:rsid w:val="00AF6FD7"/>
    <w:rsid w:val="00AF7B4D"/>
    <w:rsid w:val="00B003E5"/>
    <w:rsid w:val="00B00AB6"/>
    <w:rsid w:val="00B015A8"/>
    <w:rsid w:val="00B017A1"/>
    <w:rsid w:val="00B01850"/>
    <w:rsid w:val="00B01F90"/>
    <w:rsid w:val="00B02C0A"/>
    <w:rsid w:val="00B02C90"/>
    <w:rsid w:val="00B032D0"/>
    <w:rsid w:val="00B038D3"/>
    <w:rsid w:val="00B03930"/>
    <w:rsid w:val="00B03F6F"/>
    <w:rsid w:val="00B05648"/>
    <w:rsid w:val="00B0592C"/>
    <w:rsid w:val="00B05B48"/>
    <w:rsid w:val="00B06164"/>
    <w:rsid w:val="00B0625A"/>
    <w:rsid w:val="00B066E6"/>
    <w:rsid w:val="00B06943"/>
    <w:rsid w:val="00B0696B"/>
    <w:rsid w:val="00B06BCA"/>
    <w:rsid w:val="00B070DC"/>
    <w:rsid w:val="00B072EE"/>
    <w:rsid w:val="00B073B5"/>
    <w:rsid w:val="00B07616"/>
    <w:rsid w:val="00B077EA"/>
    <w:rsid w:val="00B10332"/>
    <w:rsid w:val="00B1048F"/>
    <w:rsid w:val="00B10895"/>
    <w:rsid w:val="00B109AA"/>
    <w:rsid w:val="00B10AD3"/>
    <w:rsid w:val="00B11165"/>
    <w:rsid w:val="00B11EB2"/>
    <w:rsid w:val="00B1208F"/>
    <w:rsid w:val="00B125A0"/>
    <w:rsid w:val="00B12B07"/>
    <w:rsid w:val="00B12B32"/>
    <w:rsid w:val="00B12D81"/>
    <w:rsid w:val="00B12E34"/>
    <w:rsid w:val="00B132A8"/>
    <w:rsid w:val="00B13685"/>
    <w:rsid w:val="00B1410A"/>
    <w:rsid w:val="00B146D6"/>
    <w:rsid w:val="00B14895"/>
    <w:rsid w:val="00B14A3D"/>
    <w:rsid w:val="00B14CC8"/>
    <w:rsid w:val="00B153AC"/>
    <w:rsid w:val="00B15406"/>
    <w:rsid w:val="00B163C6"/>
    <w:rsid w:val="00B1683F"/>
    <w:rsid w:val="00B16A0B"/>
    <w:rsid w:val="00B16B0A"/>
    <w:rsid w:val="00B16B1B"/>
    <w:rsid w:val="00B16EE5"/>
    <w:rsid w:val="00B174A2"/>
    <w:rsid w:val="00B20B2C"/>
    <w:rsid w:val="00B20C7A"/>
    <w:rsid w:val="00B20F6A"/>
    <w:rsid w:val="00B20F95"/>
    <w:rsid w:val="00B21812"/>
    <w:rsid w:val="00B2191F"/>
    <w:rsid w:val="00B21BA1"/>
    <w:rsid w:val="00B22344"/>
    <w:rsid w:val="00B22BDE"/>
    <w:rsid w:val="00B22D0A"/>
    <w:rsid w:val="00B22FB8"/>
    <w:rsid w:val="00B23137"/>
    <w:rsid w:val="00B23491"/>
    <w:rsid w:val="00B236DC"/>
    <w:rsid w:val="00B23AA4"/>
    <w:rsid w:val="00B23C00"/>
    <w:rsid w:val="00B23ED8"/>
    <w:rsid w:val="00B2420C"/>
    <w:rsid w:val="00B2434C"/>
    <w:rsid w:val="00B24BC6"/>
    <w:rsid w:val="00B24DC2"/>
    <w:rsid w:val="00B25028"/>
    <w:rsid w:val="00B258C8"/>
    <w:rsid w:val="00B2682E"/>
    <w:rsid w:val="00B26A13"/>
    <w:rsid w:val="00B26A98"/>
    <w:rsid w:val="00B30444"/>
    <w:rsid w:val="00B30D76"/>
    <w:rsid w:val="00B30DCA"/>
    <w:rsid w:val="00B3107C"/>
    <w:rsid w:val="00B31A63"/>
    <w:rsid w:val="00B31A7E"/>
    <w:rsid w:val="00B31B59"/>
    <w:rsid w:val="00B31BE1"/>
    <w:rsid w:val="00B32401"/>
    <w:rsid w:val="00B3240F"/>
    <w:rsid w:val="00B3253E"/>
    <w:rsid w:val="00B329BE"/>
    <w:rsid w:val="00B32B5D"/>
    <w:rsid w:val="00B333A3"/>
    <w:rsid w:val="00B33A39"/>
    <w:rsid w:val="00B33CE2"/>
    <w:rsid w:val="00B3425D"/>
    <w:rsid w:val="00B3439D"/>
    <w:rsid w:val="00B35059"/>
    <w:rsid w:val="00B36A96"/>
    <w:rsid w:val="00B37EE8"/>
    <w:rsid w:val="00B37EFC"/>
    <w:rsid w:val="00B40056"/>
    <w:rsid w:val="00B400B2"/>
    <w:rsid w:val="00B40122"/>
    <w:rsid w:val="00B402BB"/>
    <w:rsid w:val="00B40675"/>
    <w:rsid w:val="00B409E8"/>
    <w:rsid w:val="00B418D0"/>
    <w:rsid w:val="00B41A52"/>
    <w:rsid w:val="00B41C2F"/>
    <w:rsid w:val="00B4228C"/>
    <w:rsid w:val="00B42B93"/>
    <w:rsid w:val="00B43062"/>
    <w:rsid w:val="00B4309B"/>
    <w:rsid w:val="00B45290"/>
    <w:rsid w:val="00B456A5"/>
    <w:rsid w:val="00B45E3F"/>
    <w:rsid w:val="00B460B6"/>
    <w:rsid w:val="00B465DD"/>
    <w:rsid w:val="00B46A79"/>
    <w:rsid w:val="00B46EA5"/>
    <w:rsid w:val="00B46FEA"/>
    <w:rsid w:val="00B47DA7"/>
    <w:rsid w:val="00B47DE7"/>
    <w:rsid w:val="00B47F55"/>
    <w:rsid w:val="00B5006B"/>
    <w:rsid w:val="00B5201A"/>
    <w:rsid w:val="00B52531"/>
    <w:rsid w:val="00B5269C"/>
    <w:rsid w:val="00B531A7"/>
    <w:rsid w:val="00B53352"/>
    <w:rsid w:val="00B54297"/>
    <w:rsid w:val="00B55135"/>
    <w:rsid w:val="00B554C2"/>
    <w:rsid w:val="00B555EF"/>
    <w:rsid w:val="00B5576A"/>
    <w:rsid w:val="00B55D8C"/>
    <w:rsid w:val="00B56387"/>
    <w:rsid w:val="00B5654B"/>
    <w:rsid w:val="00B56598"/>
    <w:rsid w:val="00B56B35"/>
    <w:rsid w:val="00B56C9A"/>
    <w:rsid w:val="00B56EAA"/>
    <w:rsid w:val="00B571F3"/>
    <w:rsid w:val="00B57864"/>
    <w:rsid w:val="00B57CB4"/>
    <w:rsid w:val="00B57EE8"/>
    <w:rsid w:val="00B602AE"/>
    <w:rsid w:val="00B604D7"/>
    <w:rsid w:val="00B609A1"/>
    <w:rsid w:val="00B6127F"/>
    <w:rsid w:val="00B61454"/>
    <w:rsid w:val="00B61708"/>
    <w:rsid w:val="00B618DA"/>
    <w:rsid w:val="00B6205F"/>
    <w:rsid w:val="00B62DD4"/>
    <w:rsid w:val="00B635D5"/>
    <w:rsid w:val="00B63CBE"/>
    <w:rsid w:val="00B6422A"/>
    <w:rsid w:val="00B64D5D"/>
    <w:rsid w:val="00B65480"/>
    <w:rsid w:val="00B65490"/>
    <w:rsid w:val="00B65E1B"/>
    <w:rsid w:val="00B6728E"/>
    <w:rsid w:val="00B674F3"/>
    <w:rsid w:val="00B677A5"/>
    <w:rsid w:val="00B706AB"/>
    <w:rsid w:val="00B70E0F"/>
    <w:rsid w:val="00B70FF2"/>
    <w:rsid w:val="00B71133"/>
    <w:rsid w:val="00B72022"/>
    <w:rsid w:val="00B7234F"/>
    <w:rsid w:val="00B72953"/>
    <w:rsid w:val="00B72FBC"/>
    <w:rsid w:val="00B73A7D"/>
    <w:rsid w:val="00B76481"/>
    <w:rsid w:val="00B76603"/>
    <w:rsid w:val="00B76F65"/>
    <w:rsid w:val="00B76F92"/>
    <w:rsid w:val="00B80302"/>
    <w:rsid w:val="00B8057E"/>
    <w:rsid w:val="00B80894"/>
    <w:rsid w:val="00B80BEA"/>
    <w:rsid w:val="00B81250"/>
    <w:rsid w:val="00B81602"/>
    <w:rsid w:val="00B81D38"/>
    <w:rsid w:val="00B858C6"/>
    <w:rsid w:val="00B86BE8"/>
    <w:rsid w:val="00B870E4"/>
    <w:rsid w:val="00B872C0"/>
    <w:rsid w:val="00B87DCD"/>
    <w:rsid w:val="00B901F0"/>
    <w:rsid w:val="00B9089C"/>
    <w:rsid w:val="00B909E6"/>
    <w:rsid w:val="00B91656"/>
    <w:rsid w:val="00B91AB4"/>
    <w:rsid w:val="00B91CD1"/>
    <w:rsid w:val="00B91EEF"/>
    <w:rsid w:val="00B922B4"/>
    <w:rsid w:val="00B92309"/>
    <w:rsid w:val="00B92803"/>
    <w:rsid w:val="00B928C4"/>
    <w:rsid w:val="00B92BA7"/>
    <w:rsid w:val="00B937FB"/>
    <w:rsid w:val="00B93AA5"/>
    <w:rsid w:val="00B94009"/>
    <w:rsid w:val="00B94127"/>
    <w:rsid w:val="00B941F5"/>
    <w:rsid w:val="00B9446F"/>
    <w:rsid w:val="00B9466E"/>
    <w:rsid w:val="00B94977"/>
    <w:rsid w:val="00B94A3B"/>
    <w:rsid w:val="00B95748"/>
    <w:rsid w:val="00B95B9B"/>
    <w:rsid w:val="00B95C10"/>
    <w:rsid w:val="00B95D59"/>
    <w:rsid w:val="00B95EE2"/>
    <w:rsid w:val="00B96B0C"/>
    <w:rsid w:val="00B96B71"/>
    <w:rsid w:val="00B9742F"/>
    <w:rsid w:val="00BA0047"/>
    <w:rsid w:val="00BA021F"/>
    <w:rsid w:val="00BA025E"/>
    <w:rsid w:val="00BA0472"/>
    <w:rsid w:val="00BA126B"/>
    <w:rsid w:val="00BA185F"/>
    <w:rsid w:val="00BA1A7D"/>
    <w:rsid w:val="00BA1B58"/>
    <w:rsid w:val="00BA1CCD"/>
    <w:rsid w:val="00BA1CE2"/>
    <w:rsid w:val="00BA1D72"/>
    <w:rsid w:val="00BA1E64"/>
    <w:rsid w:val="00BA1EC7"/>
    <w:rsid w:val="00BA259D"/>
    <w:rsid w:val="00BA272C"/>
    <w:rsid w:val="00BA27BB"/>
    <w:rsid w:val="00BA28EC"/>
    <w:rsid w:val="00BA2EE8"/>
    <w:rsid w:val="00BA2F32"/>
    <w:rsid w:val="00BA36F7"/>
    <w:rsid w:val="00BA3CF9"/>
    <w:rsid w:val="00BA3D2D"/>
    <w:rsid w:val="00BA4278"/>
    <w:rsid w:val="00BA45BD"/>
    <w:rsid w:val="00BA4ADB"/>
    <w:rsid w:val="00BA50E8"/>
    <w:rsid w:val="00BA58E4"/>
    <w:rsid w:val="00BA5CA2"/>
    <w:rsid w:val="00BA604D"/>
    <w:rsid w:val="00BA69AF"/>
    <w:rsid w:val="00BA6D5C"/>
    <w:rsid w:val="00BA6F57"/>
    <w:rsid w:val="00BA76C8"/>
    <w:rsid w:val="00BA7734"/>
    <w:rsid w:val="00BA7A3B"/>
    <w:rsid w:val="00BB0650"/>
    <w:rsid w:val="00BB0831"/>
    <w:rsid w:val="00BB156F"/>
    <w:rsid w:val="00BB1EDA"/>
    <w:rsid w:val="00BB2025"/>
    <w:rsid w:val="00BB2074"/>
    <w:rsid w:val="00BB24E3"/>
    <w:rsid w:val="00BB332A"/>
    <w:rsid w:val="00BB3FE6"/>
    <w:rsid w:val="00BB4242"/>
    <w:rsid w:val="00BB4279"/>
    <w:rsid w:val="00BB45EF"/>
    <w:rsid w:val="00BB54BC"/>
    <w:rsid w:val="00BB5C7B"/>
    <w:rsid w:val="00BB5F80"/>
    <w:rsid w:val="00BB6099"/>
    <w:rsid w:val="00BB64C1"/>
    <w:rsid w:val="00BB69AC"/>
    <w:rsid w:val="00BB6A45"/>
    <w:rsid w:val="00BB6E15"/>
    <w:rsid w:val="00BB7022"/>
    <w:rsid w:val="00BB725F"/>
    <w:rsid w:val="00BB7342"/>
    <w:rsid w:val="00BB750B"/>
    <w:rsid w:val="00BB7892"/>
    <w:rsid w:val="00BB7B08"/>
    <w:rsid w:val="00BB7DA9"/>
    <w:rsid w:val="00BB7FFC"/>
    <w:rsid w:val="00BC0244"/>
    <w:rsid w:val="00BC07AB"/>
    <w:rsid w:val="00BC0CB8"/>
    <w:rsid w:val="00BC0E11"/>
    <w:rsid w:val="00BC13DC"/>
    <w:rsid w:val="00BC1A2E"/>
    <w:rsid w:val="00BC1C8F"/>
    <w:rsid w:val="00BC24E0"/>
    <w:rsid w:val="00BC26F5"/>
    <w:rsid w:val="00BC2B61"/>
    <w:rsid w:val="00BC2CCB"/>
    <w:rsid w:val="00BC3832"/>
    <w:rsid w:val="00BC389A"/>
    <w:rsid w:val="00BC44C6"/>
    <w:rsid w:val="00BC4664"/>
    <w:rsid w:val="00BC46A3"/>
    <w:rsid w:val="00BC4CB7"/>
    <w:rsid w:val="00BC4CE9"/>
    <w:rsid w:val="00BC4D5F"/>
    <w:rsid w:val="00BC4F4E"/>
    <w:rsid w:val="00BC5C69"/>
    <w:rsid w:val="00BC5E89"/>
    <w:rsid w:val="00BC64D6"/>
    <w:rsid w:val="00BC654F"/>
    <w:rsid w:val="00BC693A"/>
    <w:rsid w:val="00BC6CB7"/>
    <w:rsid w:val="00BC6E74"/>
    <w:rsid w:val="00BC746E"/>
    <w:rsid w:val="00BC794D"/>
    <w:rsid w:val="00BC7D25"/>
    <w:rsid w:val="00BD0A13"/>
    <w:rsid w:val="00BD13AA"/>
    <w:rsid w:val="00BD2AB3"/>
    <w:rsid w:val="00BD2C1E"/>
    <w:rsid w:val="00BD2D07"/>
    <w:rsid w:val="00BD32A0"/>
    <w:rsid w:val="00BD3718"/>
    <w:rsid w:val="00BD3E86"/>
    <w:rsid w:val="00BD4726"/>
    <w:rsid w:val="00BD590D"/>
    <w:rsid w:val="00BD61B9"/>
    <w:rsid w:val="00BD6391"/>
    <w:rsid w:val="00BD654C"/>
    <w:rsid w:val="00BD6ABC"/>
    <w:rsid w:val="00BD70B3"/>
    <w:rsid w:val="00BD716F"/>
    <w:rsid w:val="00BD77E0"/>
    <w:rsid w:val="00BD7918"/>
    <w:rsid w:val="00BD7CA0"/>
    <w:rsid w:val="00BE0007"/>
    <w:rsid w:val="00BE053A"/>
    <w:rsid w:val="00BE092B"/>
    <w:rsid w:val="00BE24E0"/>
    <w:rsid w:val="00BE2640"/>
    <w:rsid w:val="00BE28C6"/>
    <w:rsid w:val="00BE292F"/>
    <w:rsid w:val="00BE2C02"/>
    <w:rsid w:val="00BE326A"/>
    <w:rsid w:val="00BE3562"/>
    <w:rsid w:val="00BE38EE"/>
    <w:rsid w:val="00BE400A"/>
    <w:rsid w:val="00BE464D"/>
    <w:rsid w:val="00BE59CC"/>
    <w:rsid w:val="00BE5AD7"/>
    <w:rsid w:val="00BE5D9E"/>
    <w:rsid w:val="00BE62DF"/>
    <w:rsid w:val="00BE6B84"/>
    <w:rsid w:val="00BE6E46"/>
    <w:rsid w:val="00BE758D"/>
    <w:rsid w:val="00BE786B"/>
    <w:rsid w:val="00BF038E"/>
    <w:rsid w:val="00BF04B7"/>
    <w:rsid w:val="00BF0C89"/>
    <w:rsid w:val="00BF0E55"/>
    <w:rsid w:val="00BF1970"/>
    <w:rsid w:val="00BF1A3A"/>
    <w:rsid w:val="00BF1B81"/>
    <w:rsid w:val="00BF2081"/>
    <w:rsid w:val="00BF283C"/>
    <w:rsid w:val="00BF2A86"/>
    <w:rsid w:val="00BF3288"/>
    <w:rsid w:val="00BF3CF9"/>
    <w:rsid w:val="00BF3ECB"/>
    <w:rsid w:val="00BF3FFB"/>
    <w:rsid w:val="00BF4488"/>
    <w:rsid w:val="00BF495A"/>
    <w:rsid w:val="00BF4A3E"/>
    <w:rsid w:val="00BF5610"/>
    <w:rsid w:val="00BF5745"/>
    <w:rsid w:val="00BF613F"/>
    <w:rsid w:val="00BF68B5"/>
    <w:rsid w:val="00BF6A4A"/>
    <w:rsid w:val="00BF73A9"/>
    <w:rsid w:val="00BF7431"/>
    <w:rsid w:val="00BF79CD"/>
    <w:rsid w:val="00BF7D6A"/>
    <w:rsid w:val="00C0012B"/>
    <w:rsid w:val="00C0013C"/>
    <w:rsid w:val="00C001FA"/>
    <w:rsid w:val="00C0059C"/>
    <w:rsid w:val="00C00F09"/>
    <w:rsid w:val="00C01732"/>
    <w:rsid w:val="00C01CD8"/>
    <w:rsid w:val="00C01D2E"/>
    <w:rsid w:val="00C026A6"/>
    <w:rsid w:val="00C026F7"/>
    <w:rsid w:val="00C02BAD"/>
    <w:rsid w:val="00C02D4B"/>
    <w:rsid w:val="00C02DC7"/>
    <w:rsid w:val="00C03165"/>
    <w:rsid w:val="00C03320"/>
    <w:rsid w:val="00C03ECA"/>
    <w:rsid w:val="00C04629"/>
    <w:rsid w:val="00C04666"/>
    <w:rsid w:val="00C047AD"/>
    <w:rsid w:val="00C048F8"/>
    <w:rsid w:val="00C04C5A"/>
    <w:rsid w:val="00C052AD"/>
    <w:rsid w:val="00C052FA"/>
    <w:rsid w:val="00C05EBB"/>
    <w:rsid w:val="00C05F39"/>
    <w:rsid w:val="00C06084"/>
    <w:rsid w:val="00C062E3"/>
    <w:rsid w:val="00C06519"/>
    <w:rsid w:val="00C06528"/>
    <w:rsid w:val="00C06747"/>
    <w:rsid w:val="00C06A69"/>
    <w:rsid w:val="00C06C98"/>
    <w:rsid w:val="00C06F04"/>
    <w:rsid w:val="00C07471"/>
    <w:rsid w:val="00C07EA3"/>
    <w:rsid w:val="00C1078A"/>
    <w:rsid w:val="00C10DB5"/>
    <w:rsid w:val="00C10F09"/>
    <w:rsid w:val="00C11250"/>
    <w:rsid w:val="00C11931"/>
    <w:rsid w:val="00C11BD3"/>
    <w:rsid w:val="00C1228C"/>
    <w:rsid w:val="00C12370"/>
    <w:rsid w:val="00C12854"/>
    <w:rsid w:val="00C12892"/>
    <w:rsid w:val="00C12A2C"/>
    <w:rsid w:val="00C12BA4"/>
    <w:rsid w:val="00C12D6D"/>
    <w:rsid w:val="00C13008"/>
    <w:rsid w:val="00C1336F"/>
    <w:rsid w:val="00C13DB3"/>
    <w:rsid w:val="00C1430F"/>
    <w:rsid w:val="00C1467F"/>
    <w:rsid w:val="00C146DB"/>
    <w:rsid w:val="00C15207"/>
    <w:rsid w:val="00C1690E"/>
    <w:rsid w:val="00C17236"/>
    <w:rsid w:val="00C2041A"/>
    <w:rsid w:val="00C206B2"/>
    <w:rsid w:val="00C207CE"/>
    <w:rsid w:val="00C20933"/>
    <w:rsid w:val="00C216CD"/>
    <w:rsid w:val="00C21A75"/>
    <w:rsid w:val="00C220F8"/>
    <w:rsid w:val="00C223EF"/>
    <w:rsid w:val="00C229B9"/>
    <w:rsid w:val="00C22D73"/>
    <w:rsid w:val="00C22FE5"/>
    <w:rsid w:val="00C2374F"/>
    <w:rsid w:val="00C23A73"/>
    <w:rsid w:val="00C23BCB"/>
    <w:rsid w:val="00C240B4"/>
    <w:rsid w:val="00C243CD"/>
    <w:rsid w:val="00C2581E"/>
    <w:rsid w:val="00C25A4F"/>
    <w:rsid w:val="00C2721C"/>
    <w:rsid w:val="00C27289"/>
    <w:rsid w:val="00C27347"/>
    <w:rsid w:val="00C279DF"/>
    <w:rsid w:val="00C27C1E"/>
    <w:rsid w:val="00C30300"/>
    <w:rsid w:val="00C3038E"/>
    <w:rsid w:val="00C303D9"/>
    <w:rsid w:val="00C30B9C"/>
    <w:rsid w:val="00C31595"/>
    <w:rsid w:val="00C32679"/>
    <w:rsid w:val="00C3283A"/>
    <w:rsid w:val="00C32894"/>
    <w:rsid w:val="00C331E5"/>
    <w:rsid w:val="00C33653"/>
    <w:rsid w:val="00C337A0"/>
    <w:rsid w:val="00C33C72"/>
    <w:rsid w:val="00C33FDF"/>
    <w:rsid w:val="00C34428"/>
    <w:rsid w:val="00C34EDD"/>
    <w:rsid w:val="00C35715"/>
    <w:rsid w:val="00C35DB6"/>
    <w:rsid w:val="00C36929"/>
    <w:rsid w:val="00C379F5"/>
    <w:rsid w:val="00C37FEC"/>
    <w:rsid w:val="00C40A30"/>
    <w:rsid w:val="00C40C62"/>
    <w:rsid w:val="00C40D67"/>
    <w:rsid w:val="00C40E1C"/>
    <w:rsid w:val="00C4115B"/>
    <w:rsid w:val="00C41250"/>
    <w:rsid w:val="00C41984"/>
    <w:rsid w:val="00C42999"/>
    <w:rsid w:val="00C42A70"/>
    <w:rsid w:val="00C42E9F"/>
    <w:rsid w:val="00C43BAC"/>
    <w:rsid w:val="00C43DED"/>
    <w:rsid w:val="00C445D1"/>
    <w:rsid w:val="00C4486C"/>
    <w:rsid w:val="00C44879"/>
    <w:rsid w:val="00C44FDE"/>
    <w:rsid w:val="00C456B9"/>
    <w:rsid w:val="00C45A84"/>
    <w:rsid w:val="00C45C96"/>
    <w:rsid w:val="00C46CDE"/>
    <w:rsid w:val="00C47508"/>
    <w:rsid w:val="00C4778B"/>
    <w:rsid w:val="00C478C3"/>
    <w:rsid w:val="00C47B7E"/>
    <w:rsid w:val="00C5016E"/>
    <w:rsid w:val="00C50A2C"/>
    <w:rsid w:val="00C50ADF"/>
    <w:rsid w:val="00C50CFB"/>
    <w:rsid w:val="00C50F06"/>
    <w:rsid w:val="00C514CD"/>
    <w:rsid w:val="00C5150E"/>
    <w:rsid w:val="00C52866"/>
    <w:rsid w:val="00C52BA2"/>
    <w:rsid w:val="00C5301E"/>
    <w:rsid w:val="00C53217"/>
    <w:rsid w:val="00C545E4"/>
    <w:rsid w:val="00C5463F"/>
    <w:rsid w:val="00C54716"/>
    <w:rsid w:val="00C55136"/>
    <w:rsid w:val="00C553FE"/>
    <w:rsid w:val="00C563D6"/>
    <w:rsid w:val="00C56487"/>
    <w:rsid w:val="00C56CDF"/>
    <w:rsid w:val="00C570D4"/>
    <w:rsid w:val="00C572A9"/>
    <w:rsid w:val="00C57669"/>
    <w:rsid w:val="00C5768D"/>
    <w:rsid w:val="00C576D8"/>
    <w:rsid w:val="00C6024E"/>
    <w:rsid w:val="00C61814"/>
    <w:rsid w:val="00C61978"/>
    <w:rsid w:val="00C61B6A"/>
    <w:rsid w:val="00C6225E"/>
    <w:rsid w:val="00C6227F"/>
    <w:rsid w:val="00C6230D"/>
    <w:rsid w:val="00C6257F"/>
    <w:rsid w:val="00C62610"/>
    <w:rsid w:val="00C62ACD"/>
    <w:rsid w:val="00C6322D"/>
    <w:rsid w:val="00C63246"/>
    <w:rsid w:val="00C6349C"/>
    <w:rsid w:val="00C64306"/>
    <w:rsid w:val="00C6458C"/>
    <w:rsid w:val="00C65214"/>
    <w:rsid w:val="00C65848"/>
    <w:rsid w:val="00C65F93"/>
    <w:rsid w:val="00C665E5"/>
    <w:rsid w:val="00C66732"/>
    <w:rsid w:val="00C6690F"/>
    <w:rsid w:val="00C66AF5"/>
    <w:rsid w:val="00C67826"/>
    <w:rsid w:val="00C67E17"/>
    <w:rsid w:val="00C67FC9"/>
    <w:rsid w:val="00C70963"/>
    <w:rsid w:val="00C7102F"/>
    <w:rsid w:val="00C710D6"/>
    <w:rsid w:val="00C71689"/>
    <w:rsid w:val="00C71B24"/>
    <w:rsid w:val="00C722EB"/>
    <w:rsid w:val="00C72330"/>
    <w:rsid w:val="00C72497"/>
    <w:rsid w:val="00C72A90"/>
    <w:rsid w:val="00C72FFF"/>
    <w:rsid w:val="00C73275"/>
    <w:rsid w:val="00C7404E"/>
    <w:rsid w:val="00C74E4A"/>
    <w:rsid w:val="00C74F23"/>
    <w:rsid w:val="00C74FD2"/>
    <w:rsid w:val="00C76A4C"/>
    <w:rsid w:val="00C76B8C"/>
    <w:rsid w:val="00C8023B"/>
    <w:rsid w:val="00C8037F"/>
    <w:rsid w:val="00C80495"/>
    <w:rsid w:val="00C8062D"/>
    <w:rsid w:val="00C80780"/>
    <w:rsid w:val="00C80959"/>
    <w:rsid w:val="00C80B53"/>
    <w:rsid w:val="00C80D10"/>
    <w:rsid w:val="00C81091"/>
    <w:rsid w:val="00C813D4"/>
    <w:rsid w:val="00C8171A"/>
    <w:rsid w:val="00C817E8"/>
    <w:rsid w:val="00C826C2"/>
    <w:rsid w:val="00C8325F"/>
    <w:rsid w:val="00C83360"/>
    <w:rsid w:val="00C8456D"/>
    <w:rsid w:val="00C84A6B"/>
    <w:rsid w:val="00C84A9D"/>
    <w:rsid w:val="00C85344"/>
    <w:rsid w:val="00C85992"/>
    <w:rsid w:val="00C85F17"/>
    <w:rsid w:val="00C862B7"/>
    <w:rsid w:val="00C86598"/>
    <w:rsid w:val="00C8683C"/>
    <w:rsid w:val="00C868D8"/>
    <w:rsid w:val="00C86F85"/>
    <w:rsid w:val="00C876EC"/>
    <w:rsid w:val="00C878D3"/>
    <w:rsid w:val="00C87A61"/>
    <w:rsid w:val="00C87D40"/>
    <w:rsid w:val="00C87F1E"/>
    <w:rsid w:val="00C87F6A"/>
    <w:rsid w:val="00C90010"/>
    <w:rsid w:val="00C90226"/>
    <w:rsid w:val="00C90587"/>
    <w:rsid w:val="00C90597"/>
    <w:rsid w:val="00C907A1"/>
    <w:rsid w:val="00C90E45"/>
    <w:rsid w:val="00C910E2"/>
    <w:rsid w:val="00C91E45"/>
    <w:rsid w:val="00C92269"/>
    <w:rsid w:val="00C92922"/>
    <w:rsid w:val="00C92979"/>
    <w:rsid w:val="00C93A87"/>
    <w:rsid w:val="00C94536"/>
    <w:rsid w:val="00C958A6"/>
    <w:rsid w:val="00C95FBC"/>
    <w:rsid w:val="00C96721"/>
    <w:rsid w:val="00C96D1C"/>
    <w:rsid w:val="00C96D5D"/>
    <w:rsid w:val="00CA07C4"/>
    <w:rsid w:val="00CA0CCE"/>
    <w:rsid w:val="00CA0E55"/>
    <w:rsid w:val="00CA12DE"/>
    <w:rsid w:val="00CA1E9D"/>
    <w:rsid w:val="00CA2259"/>
    <w:rsid w:val="00CA2B61"/>
    <w:rsid w:val="00CA2CBD"/>
    <w:rsid w:val="00CA2D96"/>
    <w:rsid w:val="00CA3669"/>
    <w:rsid w:val="00CA3FEA"/>
    <w:rsid w:val="00CA4C8E"/>
    <w:rsid w:val="00CA4FF1"/>
    <w:rsid w:val="00CA59D3"/>
    <w:rsid w:val="00CA5A5A"/>
    <w:rsid w:val="00CA62FE"/>
    <w:rsid w:val="00CA6349"/>
    <w:rsid w:val="00CA643B"/>
    <w:rsid w:val="00CA68B1"/>
    <w:rsid w:val="00CA6A9A"/>
    <w:rsid w:val="00CA72CC"/>
    <w:rsid w:val="00CA78F5"/>
    <w:rsid w:val="00CB0099"/>
    <w:rsid w:val="00CB00DE"/>
    <w:rsid w:val="00CB0411"/>
    <w:rsid w:val="00CB0692"/>
    <w:rsid w:val="00CB089F"/>
    <w:rsid w:val="00CB0A16"/>
    <w:rsid w:val="00CB0DBF"/>
    <w:rsid w:val="00CB1008"/>
    <w:rsid w:val="00CB1CB1"/>
    <w:rsid w:val="00CB2107"/>
    <w:rsid w:val="00CB28A1"/>
    <w:rsid w:val="00CB291E"/>
    <w:rsid w:val="00CB3277"/>
    <w:rsid w:val="00CB40FC"/>
    <w:rsid w:val="00CB458C"/>
    <w:rsid w:val="00CB4724"/>
    <w:rsid w:val="00CB489B"/>
    <w:rsid w:val="00CB4C4F"/>
    <w:rsid w:val="00CB5192"/>
    <w:rsid w:val="00CB557E"/>
    <w:rsid w:val="00CB56F9"/>
    <w:rsid w:val="00CB57C4"/>
    <w:rsid w:val="00CB62DE"/>
    <w:rsid w:val="00CB64D4"/>
    <w:rsid w:val="00CB6D88"/>
    <w:rsid w:val="00CB7336"/>
    <w:rsid w:val="00CB762D"/>
    <w:rsid w:val="00CC03ED"/>
    <w:rsid w:val="00CC0AAA"/>
    <w:rsid w:val="00CC0C3D"/>
    <w:rsid w:val="00CC0DE1"/>
    <w:rsid w:val="00CC18FE"/>
    <w:rsid w:val="00CC1D2B"/>
    <w:rsid w:val="00CC255A"/>
    <w:rsid w:val="00CC272D"/>
    <w:rsid w:val="00CC387F"/>
    <w:rsid w:val="00CC40C4"/>
    <w:rsid w:val="00CC412C"/>
    <w:rsid w:val="00CC4312"/>
    <w:rsid w:val="00CC4E52"/>
    <w:rsid w:val="00CC4E66"/>
    <w:rsid w:val="00CC52D3"/>
    <w:rsid w:val="00CC5A37"/>
    <w:rsid w:val="00CC5D90"/>
    <w:rsid w:val="00CC6314"/>
    <w:rsid w:val="00CC6B74"/>
    <w:rsid w:val="00CC6E7D"/>
    <w:rsid w:val="00CC7715"/>
    <w:rsid w:val="00CC7AB8"/>
    <w:rsid w:val="00CC7B24"/>
    <w:rsid w:val="00CC7B5E"/>
    <w:rsid w:val="00CD0000"/>
    <w:rsid w:val="00CD0862"/>
    <w:rsid w:val="00CD115F"/>
    <w:rsid w:val="00CD148D"/>
    <w:rsid w:val="00CD1CFE"/>
    <w:rsid w:val="00CD3001"/>
    <w:rsid w:val="00CD3031"/>
    <w:rsid w:val="00CD3271"/>
    <w:rsid w:val="00CD3401"/>
    <w:rsid w:val="00CD3475"/>
    <w:rsid w:val="00CD4836"/>
    <w:rsid w:val="00CD5153"/>
    <w:rsid w:val="00CD5704"/>
    <w:rsid w:val="00CD6262"/>
    <w:rsid w:val="00CD65A9"/>
    <w:rsid w:val="00CD680E"/>
    <w:rsid w:val="00CD68BF"/>
    <w:rsid w:val="00CD68D4"/>
    <w:rsid w:val="00CD75F6"/>
    <w:rsid w:val="00CD77B3"/>
    <w:rsid w:val="00CE0000"/>
    <w:rsid w:val="00CE0AB1"/>
    <w:rsid w:val="00CE0C37"/>
    <w:rsid w:val="00CE15A9"/>
    <w:rsid w:val="00CE22CA"/>
    <w:rsid w:val="00CE23CC"/>
    <w:rsid w:val="00CE264A"/>
    <w:rsid w:val="00CE2C7B"/>
    <w:rsid w:val="00CE3A53"/>
    <w:rsid w:val="00CE47D5"/>
    <w:rsid w:val="00CE4C0C"/>
    <w:rsid w:val="00CE550F"/>
    <w:rsid w:val="00CE5660"/>
    <w:rsid w:val="00CE578D"/>
    <w:rsid w:val="00CE58CE"/>
    <w:rsid w:val="00CE5AB3"/>
    <w:rsid w:val="00CE6375"/>
    <w:rsid w:val="00CE63D3"/>
    <w:rsid w:val="00CE6868"/>
    <w:rsid w:val="00CE6944"/>
    <w:rsid w:val="00CE6C6F"/>
    <w:rsid w:val="00CE70AD"/>
    <w:rsid w:val="00CE73B5"/>
    <w:rsid w:val="00CE774F"/>
    <w:rsid w:val="00CE7A7E"/>
    <w:rsid w:val="00CF08D3"/>
    <w:rsid w:val="00CF0CEF"/>
    <w:rsid w:val="00CF10AF"/>
    <w:rsid w:val="00CF1829"/>
    <w:rsid w:val="00CF21B8"/>
    <w:rsid w:val="00CF3DD0"/>
    <w:rsid w:val="00CF5080"/>
    <w:rsid w:val="00CF64CE"/>
    <w:rsid w:val="00CF6AC4"/>
    <w:rsid w:val="00CF6F97"/>
    <w:rsid w:val="00CF7257"/>
    <w:rsid w:val="00CF735D"/>
    <w:rsid w:val="00D005EE"/>
    <w:rsid w:val="00D00B0E"/>
    <w:rsid w:val="00D0116D"/>
    <w:rsid w:val="00D01A9D"/>
    <w:rsid w:val="00D02541"/>
    <w:rsid w:val="00D02C7F"/>
    <w:rsid w:val="00D02D2A"/>
    <w:rsid w:val="00D02D3B"/>
    <w:rsid w:val="00D036C3"/>
    <w:rsid w:val="00D037F1"/>
    <w:rsid w:val="00D03C18"/>
    <w:rsid w:val="00D03CB9"/>
    <w:rsid w:val="00D044C0"/>
    <w:rsid w:val="00D04836"/>
    <w:rsid w:val="00D04AE6"/>
    <w:rsid w:val="00D05D46"/>
    <w:rsid w:val="00D06011"/>
    <w:rsid w:val="00D062C6"/>
    <w:rsid w:val="00D06412"/>
    <w:rsid w:val="00D06EB2"/>
    <w:rsid w:val="00D0724F"/>
    <w:rsid w:val="00D0750E"/>
    <w:rsid w:val="00D1043A"/>
    <w:rsid w:val="00D10A98"/>
    <w:rsid w:val="00D1145F"/>
    <w:rsid w:val="00D11760"/>
    <w:rsid w:val="00D118E4"/>
    <w:rsid w:val="00D11BDB"/>
    <w:rsid w:val="00D127CD"/>
    <w:rsid w:val="00D1299B"/>
    <w:rsid w:val="00D130B6"/>
    <w:rsid w:val="00D1391D"/>
    <w:rsid w:val="00D13E82"/>
    <w:rsid w:val="00D14057"/>
    <w:rsid w:val="00D141CE"/>
    <w:rsid w:val="00D14937"/>
    <w:rsid w:val="00D14F94"/>
    <w:rsid w:val="00D1561A"/>
    <w:rsid w:val="00D15811"/>
    <w:rsid w:val="00D15EE4"/>
    <w:rsid w:val="00D15FF9"/>
    <w:rsid w:val="00D16B15"/>
    <w:rsid w:val="00D17ADC"/>
    <w:rsid w:val="00D17B61"/>
    <w:rsid w:val="00D200E4"/>
    <w:rsid w:val="00D2039F"/>
    <w:rsid w:val="00D208EF"/>
    <w:rsid w:val="00D21401"/>
    <w:rsid w:val="00D221F6"/>
    <w:rsid w:val="00D230DE"/>
    <w:rsid w:val="00D24A5E"/>
    <w:rsid w:val="00D2501C"/>
    <w:rsid w:val="00D250B1"/>
    <w:rsid w:val="00D25500"/>
    <w:rsid w:val="00D257A0"/>
    <w:rsid w:val="00D261B4"/>
    <w:rsid w:val="00D2649F"/>
    <w:rsid w:val="00D26775"/>
    <w:rsid w:val="00D26B89"/>
    <w:rsid w:val="00D26DE5"/>
    <w:rsid w:val="00D2700B"/>
    <w:rsid w:val="00D278D5"/>
    <w:rsid w:val="00D27B37"/>
    <w:rsid w:val="00D300CD"/>
    <w:rsid w:val="00D30AC2"/>
    <w:rsid w:val="00D316DE"/>
    <w:rsid w:val="00D31793"/>
    <w:rsid w:val="00D31A5B"/>
    <w:rsid w:val="00D31A86"/>
    <w:rsid w:val="00D31DDC"/>
    <w:rsid w:val="00D3232B"/>
    <w:rsid w:val="00D32330"/>
    <w:rsid w:val="00D3295D"/>
    <w:rsid w:val="00D33075"/>
    <w:rsid w:val="00D3332A"/>
    <w:rsid w:val="00D33F76"/>
    <w:rsid w:val="00D34837"/>
    <w:rsid w:val="00D349BF"/>
    <w:rsid w:val="00D34E48"/>
    <w:rsid w:val="00D3606D"/>
    <w:rsid w:val="00D36432"/>
    <w:rsid w:val="00D36EAB"/>
    <w:rsid w:val="00D36FF3"/>
    <w:rsid w:val="00D37160"/>
    <w:rsid w:val="00D3777D"/>
    <w:rsid w:val="00D37A76"/>
    <w:rsid w:val="00D37EEF"/>
    <w:rsid w:val="00D40723"/>
    <w:rsid w:val="00D40B75"/>
    <w:rsid w:val="00D40B9D"/>
    <w:rsid w:val="00D41FD8"/>
    <w:rsid w:val="00D4215B"/>
    <w:rsid w:val="00D42FA6"/>
    <w:rsid w:val="00D432AB"/>
    <w:rsid w:val="00D43485"/>
    <w:rsid w:val="00D44498"/>
    <w:rsid w:val="00D4449B"/>
    <w:rsid w:val="00D44EAD"/>
    <w:rsid w:val="00D456B2"/>
    <w:rsid w:val="00D45A54"/>
    <w:rsid w:val="00D45BF4"/>
    <w:rsid w:val="00D50F6C"/>
    <w:rsid w:val="00D5115C"/>
    <w:rsid w:val="00D519BA"/>
    <w:rsid w:val="00D51BFB"/>
    <w:rsid w:val="00D51E17"/>
    <w:rsid w:val="00D534A1"/>
    <w:rsid w:val="00D5357B"/>
    <w:rsid w:val="00D5369C"/>
    <w:rsid w:val="00D536D6"/>
    <w:rsid w:val="00D53777"/>
    <w:rsid w:val="00D54320"/>
    <w:rsid w:val="00D54342"/>
    <w:rsid w:val="00D54A41"/>
    <w:rsid w:val="00D54B69"/>
    <w:rsid w:val="00D54B8E"/>
    <w:rsid w:val="00D54EC9"/>
    <w:rsid w:val="00D557DF"/>
    <w:rsid w:val="00D5596F"/>
    <w:rsid w:val="00D55A7B"/>
    <w:rsid w:val="00D55F4C"/>
    <w:rsid w:val="00D56DA8"/>
    <w:rsid w:val="00D57421"/>
    <w:rsid w:val="00D5749E"/>
    <w:rsid w:val="00D57BFF"/>
    <w:rsid w:val="00D57D47"/>
    <w:rsid w:val="00D60FCA"/>
    <w:rsid w:val="00D6104C"/>
    <w:rsid w:val="00D6174E"/>
    <w:rsid w:val="00D624A3"/>
    <w:rsid w:val="00D62B83"/>
    <w:rsid w:val="00D63014"/>
    <w:rsid w:val="00D6352B"/>
    <w:rsid w:val="00D63925"/>
    <w:rsid w:val="00D63CD8"/>
    <w:rsid w:val="00D6415C"/>
    <w:rsid w:val="00D64D2D"/>
    <w:rsid w:val="00D64FE9"/>
    <w:rsid w:val="00D65699"/>
    <w:rsid w:val="00D656F6"/>
    <w:rsid w:val="00D665EE"/>
    <w:rsid w:val="00D67522"/>
    <w:rsid w:val="00D6787A"/>
    <w:rsid w:val="00D67D9A"/>
    <w:rsid w:val="00D702E8"/>
    <w:rsid w:val="00D709B0"/>
    <w:rsid w:val="00D719AF"/>
    <w:rsid w:val="00D71AA5"/>
    <w:rsid w:val="00D71CA4"/>
    <w:rsid w:val="00D72669"/>
    <w:rsid w:val="00D7436A"/>
    <w:rsid w:val="00D75DA7"/>
    <w:rsid w:val="00D7704A"/>
    <w:rsid w:val="00D771A1"/>
    <w:rsid w:val="00D77989"/>
    <w:rsid w:val="00D77C7D"/>
    <w:rsid w:val="00D80056"/>
    <w:rsid w:val="00D80645"/>
    <w:rsid w:val="00D8085A"/>
    <w:rsid w:val="00D816B6"/>
    <w:rsid w:val="00D818AA"/>
    <w:rsid w:val="00D81A5E"/>
    <w:rsid w:val="00D81C7E"/>
    <w:rsid w:val="00D821CE"/>
    <w:rsid w:val="00D82FD7"/>
    <w:rsid w:val="00D83432"/>
    <w:rsid w:val="00D83713"/>
    <w:rsid w:val="00D83C98"/>
    <w:rsid w:val="00D83F42"/>
    <w:rsid w:val="00D84173"/>
    <w:rsid w:val="00D8419F"/>
    <w:rsid w:val="00D8599B"/>
    <w:rsid w:val="00D8600D"/>
    <w:rsid w:val="00D86C76"/>
    <w:rsid w:val="00D872EF"/>
    <w:rsid w:val="00D903C7"/>
    <w:rsid w:val="00D907A5"/>
    <w:rsid w:val="00D90C2E"/>
    <w:rsid w:val="00D90FEF"/>
    <w:rsid w:val="00D91113"/>
    <w:rsid w:val="00D9150F"/>
    <w:rsid w:val="00D91569"/>
    <w:rsid w:val="00D92093"/>
    <w:rsid w:val="00D921AC"/>
    <w:rsid w:val="00D930F8"/>
    <w:rsid w:val="00D93E1C"/>
    <w:rsid w:val="00D94AE0"/>
    <w:rsid w:val="00D94CAC"/>
    <w:rsid w:val="00D96356"/>
    <w:rsid w:val="00D965E3"/>
    <w:rsid w:val="00D96F19"/>
    <w:rsid w:val="00D96F4E"/>
    <w:rsid w:val="00D96F8D"/>
    <w:rsid w:val="00D97114"/>
    <w:rsid w:val="00D97319"/>
    <w:rsid w:val="00D97745"/>
    <w:rsid w:val="00DA0210"/>
    <w:rsid w:val="00DA04F3"/>
    <w:rsid w:val="00DA05EC"/>
    <w:rsid w:val="00DA0C07"/>
    <w:rsid w:val="00DA0CA5"/>
    <w:rsid w:val="00DA0F29"/>
    <w:rsid w:val="00DA16CF"/>
    <w:rsid w:val="00DA1AA9"/>
    <w:rsid w:val="00DA2163"/>
    <w:rsid w:val="00DA289C"/>
    <w:rsid w:val="00DA2DFB"/>
    <w:rsid w:val="00DA2FF6"/>
    <w:rsid w:val="00DA3A60"/>
    <w:rsid w:val="00DA3BCE"/>
    <w:rsid w:val="00DA41A3"/>
    <w:rsid w:val="00DA47C5"/>
    <w:rsid w:val="00DA5FD0"/>
    <w:rsid w:val="00DA68C0"/>
    <w:rsid w:val="00DA6C08"/>
    <w:rsid w:val="00DA797B"/>
    <w:rsid w:val="00DA7A47"/>
    <w:rsid w:val="00DA7B7C"/>
    <w:rsid w:val="00DB009F"/>
    <w:rsid w:val="00DB0660"/>
    <w:rsid w:val="00DB0CB2"/>
    <w:rsid w:val="00DB1A6F"/>
    <w:rsid w:val="00DB1D47"/>
    <w:rsid w:val="00DB1D80"/>
    <w:rsid w:val="00DB2043"/>
    <w:rsid w:val="00DB2F44"/>
    <w:rsid w:val="00DB3CB3"/>
    <w:rsid w:val="00DB40F4"/>
    <w:rsid w:val="00DB4109"/>
    <w:rsid w:val="00DB49EF"/>
    <w:rsid w:val="00DB4C5C"/>
    <w:rsid w:val="00DB52B1"/>
    <w:rsid w:val="00DB52C3"/>
    <w:rsid w:val="00DB53E7"/>
    <w:rsid w:val="00DB6353"/>
    <w:rsid w:val="00DB656F"/>
    <w:rsid w:val="00DB686A"/>
    <w:rsid w:val="00DB6B37"/>
    <w:rsid w:val="00DB6CC1"/>
    <w:rsid w:val="00DB6FEE"/>
    <w:rsid w:val="00DC0EC0"/>
    <w:rsid w:val="00DC0FC6"/>
    <w:rsid w:val="00DC12E9"/>
    <w:rsid w:val="00DC1594"/>
    <w:rsid w:val="00DC1E02"/>
    <w:rsid w:val="00DC2890"/>
    <w:rsid w:val="00DC2D11"/>
    <w:rsid w:val="00DC2DE4"/>
    <w:rsid w:val="00DC2E29"/>
    <w:rsid w:val="00DC3C2B"/>
    <w:rsid w:val="00DC3DD6"/>
    <w:rsid w:val="00DC41DE"/>
    <w:rsid w:val="00DC422E"/>
    <w:rsid w:val="00DC426E"/>
    <w:rsid w:val="00DC4657"/>
    <w:rsid w:val="00DC48A1"/>
    <w:rsid w:val="00DC4D08"/>
    <w:rsid w:val="00DC57C8"/>
    <w:rsid w:val="00DC5A73"/>
    <w:rsid w:val="00DC64F2"/>
    <w:rsid w:val="00DC686A"/>
    <w:rsid w:val="00DC692F"/>
    <w:rsid w:val="00DC6B8A"/>
    <w:rsid w:val="00DC6FA9"/>
    <w:rsid w:val="00DC7079"/>
    <w:rsid w:val="00DC7411"/>
    <w:rsid w:val="00DC7730"/>
    <w:rsid w:val="00DC7C53"/>
    <w:rsid w:val="00DD0082"/>
    <w:rsid w:val="00DD0352"/>
    <w:rsid w:val="00DD0908"/>
    <w:rsid w:val="00DD0A33"/>
    <w:rsid w:val="00DD0A9C"/>
    <w:rsid w:val="00DD1090"/>
    <w:rsid w:val="00DD115F"/>
    <w:rsid w:val="00DD35A3"/>
    <w:rsid w:val="00DD3AED"/>
    <w:rsid w:val="00DD4856"/>
    <w:rsid w:val="00DD64AF"/>
    <w:rsid w:val="00DD68E1"/>
    <w:rsid w:val="00DD7115"/>
    <w:rsid w:val="00DD7360"/>
    <w:rsid w:val="00DD74F8"/>
    <w:rsid w:val="00DD79AD"/>
    <w:rsid w:val="00DE130D"/>
    <w:rsid w:val="00DE1321"/>
    <w:rsid w:val="00DE14B5"/>
    <w:rsid w:val="00DE16BA"/>
    <w:rsid w:val="00DE1EB7"/>
    <w:rsid w:val="00DE2014"/>
    <w:rsid w:val="00DE21FB"/>
    <w:rsid w:val="00DE2270"/>
    <w:rsid w:val="00DE247A"/>
    <w:rsid w:val="00DE2EB8"/>
    <w:rsid w:val="00DE2FA5"/>
    <w:rsid w:val="00DE2FFD"/>
    <w:rsid w:val="00DE35C8"/>
    <w:rsid w:val="00DE385A"/>
    <w:rsid w:val="00DE3C40"/>
    <w:rsid w:val="00DE3C6C"/>
    <w:rsid w:val="00DE3D36"/>
    <w:rsid w:val="00DE3E5D"/>
    <w:rsid w:val="00DE44CC"/>
    <w:rsid w:val="00DE5CA1"/>
    <w:rsid w:val="00DE5ED0"/>
    <w:rsid w:val="00DE5F66"/>
    <w:rsid w:val="00DE666D"/>
    <w:rsid w:val="00DE67A9"/>
    <w:rsid w:val="00DE7F3B"/>
    <w:rsid w:val="00DF065C"/>
    <w:rsid w:val="00DF0782"/>
    <w:rsid w:val="00DF07E9"/>
    <w:rsid w:val="00DF07F1"/>
    <w:rsid w:val="00DF081F"/>
    <w:rsid w:val="00DF0C47"/>
    <w:rsid w:val="00DF0CC2"/>
    <w:rsid w:val="00DF1A84"/>
    <w:rsid w:val="00DF1AB0"/>
    <w:rsid w:val="00DF1B8B"/>
    <w:rsid w:val="00DF1E78"/>
    <w:rsid w:val="00DF1F31"/>
    <w:rsid w:val="00DF210A"/>
    <w:rsid w:val="00DF2478"/>
    <w:rsid w:val="00DF25A6"/>
    <w:rsid w:val="00DF2757"/>
    <w:rsid w:val="00DF2AFB"/>
    <w:rsid w:val="00DF2BF9"/>
    <w:rsid w:val="00DF34A9"/>
    <w:rsid w:val="00DF35BE"/>
    <w:rsid w:val="00DF367D"/>
    <w:rsid w:val="00DF3D83"/>
    <w:rsid w:val="00DF3EC8"/>
    <w:rsid w:val="00DF4FC5"/>
    <w:rsid w:val="00DF54B5"/>
    <w:rsid w:val="00DF5B79"/>
    <w:rsid w:val="00DF5B8D"/>
    <w:rsid w:val="00DF5C26"/>
    <w:rsid w:val="00DF66CB"/>
    <w:rsid w:val="00DF67A9"/>
    <w:rsid w:val="00DF6ABD"/>
    <w:rsid w:val="00DF6CE1"/>
    <w:rsid w:val="00DF6DE9"/>
    <w:rsid w:val="00DF7276"/>
    <w:rsid w:val="00DF7A46"/>
    <w:rsid w:val="00DF7B8A"/>
    <w:rsid w:val="00DF7D23"/>
    <w:rsid w:val="00E00A26"/>
    <w:rsid w:val="00E00E41"/>
    <w:rsid w:val="00E01453"/>
    <w:rsid w:val="00E014EE"/>
    <w:rsid w:val="00E01754"/>
    <w:rsid w:val="00E0198E"/>
    <w:rsid w:val="00E02C40"/>
    <w:rsid w:val="00E03024"/>
    <w:rsid w:val="00E03581"/>
    <w:rsid w:val="00E03C13"/>
    <w:rsid w:val="00E03E62"/>
    <w:rsid w:val="00E0434F"/>
    <w:rsid w:val="00E053FC"/>
    <w:rsid w:val="00E05632"/>
    <w:rsid w:val="00E05CEC"/>
    <w:rsid w:val="00E05D46"/>
    <w:rsid w:val="00E0616A"/>
    <w:rsid w:val="00E06B71"/>
    <w:rsid w:val="00E06C62"/>
    <w:rsid w:val="00E07D37"/>
    <w:rsid w:val="00E100E0"/>
    <w:rsid w:val="00E10527"/>
    <w:rsid w:val="00E10A13"/>
    <w:rsid w:val="00E10F81"/>
    <w:rsid w:val="00E11188"/>
    <w:rsid w:val="00E11301"/>
    <w:rsid w:val="00E11376"/>
    <w:rsid w:val="00E11F38"/>
    <w:rsid w:val="00E1278A"/>
    <w:rsid w:val="00E127DA"/>
    <w:rsid w:val="00E12AAD"/>
    <w:rsid w:val="00E12B1F"/>
    <w:rsid w:val="00E12F39"/>
    <w:rsid w:val="00E131A9"/>
    <w:rsid w:val="00E13421"/>
    <w:rsid w:val="00E135E8"/>
    <w:rsid w:val="00E155A4"/>
    <w:rsid w:val="00E163D9"/>
    <w:rsid w:val="00E16773"/>
    <w:rsid w:val="00E16877"/>
    <w:rsid w:val="00E168F7"/>
    <w:rsid w:val="00E16D42"/>
    <w:rsid w:val="00E16E8F"/>
    <w:rsid w:val="00E17625"/>
    <w:rsid w:val="00E17D59"/>
    <w:rsid w:val="00E20191"/>
    <w:rsid w:val="00E20310"/>
    <w:rsid w:val="00E207D5"/>
    <w:rsid w:val="00E20F26"/>
    <w:rsid w:val="00E2181C"/>
    <w:rsid w:val="00E21872"/>
    <w:rsid w:val="00E218C7"/>
    <w:rsid w:val="00E21EEE"/>
    <w:rsid w:val="00E22288"/>
    <w:rsid w:val="00E22538"/>
    <w:rsid w:val="00E23639"/>
    <w:rsid w:val="00E23983"/>
    <w:rsid w:val="00E2463B"/>
    <w:rsid w:val="00E24DC5"/>
    <w:rsid w:val="00E258CD"/>
    <w:rsid w:val="00E260D3"/>
    <w:rsid w:val="00E2687C"/>
    <w:rsid w:val="00E26EAC"/>
    <w:rsid w:val="00E27BE0"/>
    <w:rsid w:val="00E27D85"/>
    <w:rsid w:val="00E27FFB"/>
    <w:rsid w:val="00E3142F"/>
    <w:rsid w:val="00E3165A"/>
    <w:rsid w:val="00E3217C"/>
    <w:rsid w:val="00E3279A"/>
    <w:rsid w:val="00E328A8"/>
    <w:rsid w:val="00E3334F"/>
    <w:rsid w:val="00E33C7A"/>
    <w:rsid w:val="00E34A96"/>
    <w:rsid w:val="00E352E7"/>
    <w:rsid w:val="00E354D1"/>
    <w:rsid w:val="00E35A86"/>
    <w:rsid w:val="00E36029"/>
    <w:rsid w:val="00E3627D"/>
    <w:rsid w:val="00E363E7"/>
    <w:rsid w:val="00E36452"/>
    <w:rsid w:val="00E36A49"/>
    <w:rsid w:val="00E37763"/>
    <w:rsid w:val="00E37BFF"/>
    <w:rsid w:val="00E37E58"/>
    <w:rsid w:val="00E37EBE"/>
    <w:rsid w:val="00E4037B"/>
    <w:rsid w:val="00E404C3"/>
    <w:rsid w:val="00E411DF"/>
    <w:rsid w:val="00E414F0"/>
    <w:rsid w:val="00E415E0"/>
    <w:rsid w:val="00E41DF8"/>
    <w:rsid w:val="00E41FF1"/>
    <w:rsid w:val="00E4201F"/>
    <w:rsid w:val="00E4232F"/>
    <w:rsid w:val="00E42406"/>
    <w:rsid w:val="00E42D1B"/>
    <w:rsid w:val="00E436ED"/>
    <w:rsid w:val="00E43FDC"/>
    <w:rsid w:val="00E44E11"/>
    <w:rsid w:val="00E452AC"/>
    <w:rsid w:val="00E453E6"/>
    <w:rsid w:val="00E4557D"/>
    <w:rsid w:val="00E45FA5"/>
    <w:rsid w:val="00E46209"/>
    <w:rsid w:val="00E46CEF"/>
    <w:rsid w:val="00E4750C"/>
    <w:rsid w:val="00E47596"/>
    <w:rsid w:val="00E47AF1"/>
    <w:rsid w:val="00E47F83"/>
    <w:rsid w:val="00E50404"/>
    <w:rsid w:val="00E508BE"/>
    <w:rsid w:val="00E50DAA"/>
    <w:rsid w:val="00E51789"/>
    <w:rsid w:val="00E51E09"/>
    <w:rsid w:val="00E51FC9"/>
    <w:rsid w:val="00E526E0"/>
    <w:rsid w:val="00E527B0"/>
    <w:rsid w:val="00E5409A"/>
    <w:rsid w:val="00E54713"/>
    <w:rsid w:val="00E54C91"/>
    <w:rsid w:val="00E54D77"/>
    <w:rsid w:val="00E556D8"/>
    <w:rsid w:val="00E55AC2"/>
    <w:rsid w:val="00E55E58"/>
    <w:rsid w:val="00E56707"/>
    <w:rsid w:val="00E578C1"/>
    <w:rsid w:val="00E57AE6"/>
    <w:rsid w:val="00E57D7E"/>
    <w:rsid w:val="00E57FEC"/>
    <w:rsid w:val="00E60475"/>
    <w:rsid w:val="00E607DE"/>
    <w:rsid w:val="00E61AFA"/>
    <w:rsid w:val="00E61C10"/>
    <w:rsid w:val="00E623E0"/>
    <w:rsid w:val="00E62A01"/>
    <w:rsid w:val="00E635D3"/>
    <w:rsid w:val="00E64096"/>
    <w:rsid w:val="00E641F9"/>
    <w:rsid w:val="00E6430A"/>
    <w:rsid w:val="00E647EA"/>
    <w:rsid w:val="00E65130"/>
    <w:rsid w:val="00E6554E"/>
    <w:rsid w:val="00E6782D"/>
    <w:rsid w:val="00E67E44"/>
    <w:rsid w:val="00E7022A"/>
    <w:rsid w:val="00E7026E"/>
    <w:rsid w:val="00E7099A"/>
    <w:rsid w:val="00E717A2"/>
    <w:rsid w:val="00E71826"/>
    <w:rsid w:val="00E71C2D"/>
    <w:rsid w:val="00E71E44"/>
    <w:rsid w:val="00E720C1"/>
    <w:rsid w:val="00E72B89"/>
    <w:rsid w:val="00E72C41"/>
    <w:rsid w:val="00E73711"/>
    <w:rsid w:val="00E73768"/>
    <w:rsid w:val="00E739EF"/>
    <w:rsid w:val="00E74583"/>
    <w:rsid w:val="00E749C4"/>
    <w:rsid w:val="00E74A1A"/>
    <w:rsid w:val="00E74C7B"/>
    <w:rsid w:val="00E7552F"/>
    <w:rsid w:val="00E75583"/>
    <w:rsid w:val="00E75C1F"/>
    <w:rsid w:val="00E7673A"/>
    <w:rsid w:val="00E76864"/>
    <w:rsid w:val="00E768C5"/>
    <w:rsid w:val="00E76C4D"/>
    <w:rsid w:val="00E76D2E"/>
    <w:rsid w:val="00E77135"/>
    <w:rsid w:val="00E77731"/>
    <w:rsid w:val="00E7781D"/>
    <w:rsid w:val="00E77EB6"/>
    <w:rsid w:val="00E808D6"/>
    <w:rsid w:val="00E819B9"/>
    <w:rsid w:val="00E83494"/>
    <w:rsid w:val="00E83B62"/>
    <w:rsid w:val="00E84633"/>
    <w:rsid w:val="00E847A7"/>
    <w:rsid w:val="00E84CE9"/>
    <w:rsid w:val="00E854F7"/>
    <w:rsid w:val="00E8645C"/>
    <w:rsid w:val="00E86649"/>
    <w:rsid w:val="00E8693D"/>
    <w:rsid w:val="00E86B24"/>
    <w:rsid w:val="00E86CD5"/>
    <w:rsid w:val="00E8787E"/>
    <w:rsid w:val="00E87BA8"/>
    <w:rsid w:val="00E87E9E"/>
    <w:rsid w:val="00E91C44"/>
    <w:rsid w:val="00E922BE"/>
    <w:rsid w:val="00E92B16"/>
    <w:rsid w:val="00E92E63"/>
    <w:rsid w:val="00E931C1"/>
    <w:rsid w:val="00E93AD4"/>
    <w:rsid w:val="00E94072"/>
    <w:rsid w:val="00E943A1"/>
    <w:rsid w:val="00E9445E"/>
    <w:rsid w:val="00E9472C"/>
    <w:rsid w:val="00E9485A"/>
    <w:rsid w:val="00E94F8D"/>
    <w:rsid w:val="00E95695"/>
    <w:rsid w:val="00E95F67"/>
    <w:rsid w:val="00E96481"/>
    <w:rsid w:val="00E96585"/>
    <w:rsid w:val="00E9671D"/>
    <w:rsid w:val="00E96DAA"/>
    <w:rsid w:val="00E96E67"/>
    <w:rsid w:val="00E972AD"/>
    <w:rsid w:val="00E973DC"/>
    <w:rsid w:val="00EA0055"/>
    <w:rsid w:val="00EA020D"/>
    <w:rsid w:val="00EA04E5"/>
    <w:rsid w:val="00EA0E8D"/>
    <w:rsid w:val="00EA0E97"/>
    <w:rsid w:val="00EA1F34"/>
    <w:rsid w:val="00EA2A16"/>
    <w:rsid w:val="00EA3AE5"/>
    <w:rsid w:val="00EA3F23"/>
    <w:rsid w:val="00EA4465"/>
    <w:rsid w:val="00EA4DEA"/>
    <w:rsid w:val="00EA5699"/>
    <w:rsid w:val="00EA5EE8"/>
    <w:rsid w:val="00EA640D"/>
    <w:rsid w:val="00EA66E4"/>
    <w:rsid w:val="00EA6A50"/>
    <w:rsid w:val="00EA6BF6"/>
    <w:rsid w:val="00EA7608"/>
    <w:rsid w:val="00EA7E61"/>
    <w:rsid w:val="00EB03E2"/>
    <w:rsid w:val="00EB0710"/>
    <w:rsid w:val="00EB09B1"/>
    <w:rsid w:val="00EB0C05"/>
    <w:rsid w:val="00EB0D35"/>
    <w:rsid w:val="00EB0D65"/>
    <w:rsid w:val="00EB0E16"/>
    <w:rsid w:val="00EB0FC8"/>
    <w:rsid w:val="00EB1538"/>
    <w:rsid w:val="00EB18B1"/>
    <w:rsid w:val="00EB1B21"/>
    <w:rsid w:val="00EB1DD7"/>
    <w:rsid w:val="00EB211F"/>
    <w:rsid w:val="00EB24AA"/>
    <w:rsid w:val="00EB2822"/>
    <w:rsid w:val="00EB2ACA"/>
    <w:rsid w:val="00EB3428"/>
    <w:rsid w:val="00EB3C5B"/>
    <w:rsid w:val="00EB3EEA"/>
    <w:rsid w:val="00EB45A7"/>
    <w:rsid w:val="00EB46B3"/>
    <w:rsid w:val="00EB4767"/>
    <w:rsid w:val="00EB4B6E"/>
    <w:rsid w:val="00EB4F46"/>
    <w:rsid w:val="00EB4F4C"/>
    <w:rsid w:val="00EB5C45"/>
    <w:rsid w:val="00EB5D89"/>
    <w:rsid w:val="00EB690A"/>
    <w:rsid w:val="00EB6A81"/>
    <w:rsid w:val="00EB6D66"/>
    <w:rsid w:val="00EB71A3"/>
    <w:rsid w:val="00EB7339"/>
    <w:rsid w:val="00EB7976"/>
    <w:rsid w:val="00EC0CE3"/>
    <w:rsid w:val="00EC0F66"/>
    <w:rsid w:val="00EC10CE"/>
    <w:rsid w:val="00EC13F0"/>
    <w:rsid w:val="00EC1949"/>
    <w:rsid w:val="00EC197A"/>
    <w:rsid w:val="00EC1B45"/>
    <w:rsid w:val="00EC1CFE"/>
    <w:rsid w:val="00EC1D53"/>
    <w:rsid w:val="00EC1E91"/>
    <w:rsid w:val="00EC2117"/>
    <w:rsid w:val="00EC4482"/>
    <w:rsid w:val="00EC4794"/>
    <w:rsid w:val="00EC48D0"/>
    <w:rsid w:val="00EC5B00"/>
    <w:rsid w:val="00EC5B40"/>
    <w:rsid w:val="00EC5F74"/>
    <w:rsid w:val="00EC60DA"/>
    <w:rsid w:val="00EC60FF"/>
    <w:rsid w:val="00EC691F"/>
    <w:rsid w:val="00EC6D2E"/>
    <w:rsid w:val="00EC7039"/>
    <w:rsid w:val="00EC7118"/>
    <w:rsid w:val="00ED0B23"/>
    <w:rsid w:val="00ED129A"/>
    <w:rsid w:val="00ED1F5A"/>
    <w:rsid w:val="00ED239D"/>
    <w:rsid w:val="00ED249D"/>
    <w:rsid w:val="00ED294F"/>
    <w:rsid w:val="00ED29F4"/>
    <w:rsid w:val="00ED2B33"/>
    <w:rsid w:val="00ED3160"/>
    <w:rsid w:val="00ED3180"/>
    <w:rsid w:val="00ED3878"/>
    <w:rsid w:val="00ED3A1A"/>
    <w:rsid w:val="00ED3ACB"/>
    <w:rsid w:val="00ED4474"/>
    <w:rsid w:val="00ED4A0B"/>
    <w:rsid w:val="00ED4AC0"/>
    <w:rsid w:val="00ED4B89"/>
    <w:rsid w:val="00ED4FC7"/>
    <w:rsid w:val="00ED5117"/>
    <w:rsid w:val="00ED51BC"/>
    <w:rsid w:val="00ED53EC"/>
    <w:rsid w:val="00ED5751"/>
    <w:rsid w:val="00ED5D1A"/>
    <w:rsid w:val="00ED5DB0"/>
    <w:rsid w:val="00ED6140"/>
    <w:rsid w:val="00ED62CB"/>
    <w:rsid w:val="00ED6F02"/>
    <w:rsid w:val="00ED71EC"/>
    <w:rsid w:val="00ED7787"/>
    <w:rsid w:val="00ED78A6"/>
    <w:rsid w:val="00ED7F3D"/>
    <w:rsid w:val="00ED7FC5"/>
    <w:rsid w:val="00EE0600"/>
    <w:rsid w:val="00EE1149"/>
    <w:rsid w:val="00EE195F"/>
    <w:rsid w:val="00EE1FC1"/>
    <w:rsid w:val="00EE200B"/>
    <w:rsid w:val="00EE26F4"/>
    <w:rsid w:val="00EE273F"/>
    <w:rsid w:val="00EE2EE7"/>
    <w:rsid w:val="00EE2F49"/>
    <w:rsid w:val="00EE2FBB"/>
    <w:rsid w:val="00EE3143"/>
    <w:rsid w:val="00EE3E07"/>
    <w:rsid w:val="00EE48F4"/>
    <w:rsid w:val="00EE5E44"/>
    <w:rsid w:val="00EE6233"/>
    <w:rsid w:val="00EE6576"/>
    <w:rsid w:val="00EE74F9"/>
    <w:rsid w:val="00EE7B29"/>
    <w:rsid w:val="00EF03E3"/>
    <w:rsid w:val="00EF066E"/>
    <w:rsid w:val="00EF1363"/>
    <w:rsid w:val="00EF1A2B"/>
    <w:rsid w:val="00EF270E"/>
    <w:rsid w:val="00EF2787"/>
    <w:rsid w:val="00EF27A7"/>
    <w:rsid w:val="00EF323B"/>
    <w:rsid w:val="00EF3392"/>
    <w:rsid w:val="00EF350A"/>
    <w:rsid w:val="00EF3866"/>
    <w:rsid w:val="00EF4274"/>
    <w:rsid w:val="00EF448B"/>
    <w:rsid w:val="00EF470E"/>
    <w:rsid w:val="00EF63CE"/>
    <w:rsid w:val="00EF68AA"/>
    <w:rsid w:val="00EF6E1C"/>
    <w:rsid w:val="00EF71C5"/>
    <w:rsid w:val="00EF7B91"/>
    <w:rsid w:val="00EF7DF2"/>
    <w:rsid w:val="00F00246"/>
    <w:rsid w:val="00F0031F"/>
    <w:rsid w:val="00F005E3"/>
    <w:rsid w:val="00F012A0"/>
    <w:rsid w:val="00F014BE"/>
    <w:rsid w:val="00F01D18"/>
    <w:rsid w:val="00F01F22"/>
    <w:rsid w:val="00F0207E"/>
    <w:rsid w:val="00F022C0"/>
    <w:rsid w:val="00F02483"/>
    <w:rsid w:val="00F02D9F"/>
    <w:rsid w:val="00F02F88"/>
    <w:rsid w:val="00F033B7"/>
    <w:rsid w:val="00F03931"/>
    <w:rsid w:val="00F03965"/>
    <w:rsid w:val="00F03C6B"/>
    <w:rsid w:val="00F03E47"/>
    <w:rsid w:val="00F043F1"/>
    <w:rsid w:val="00F04443"/>
    <w:rsid w:val="00F04A2B"/>
    <w:rsid w:val="00F04CB4"/>
    <w:rsid w:val="00F0503D"/>
    <w:rsid w:val="00F05DCD"/>
    <w:rsid w:val="00F064D5"/>
    <w:rsid w:val="00F067F5"/>
    <w:rsid w:val="00F06E58"/>
    <w:rsid w:val="00F06F02"/>
    <w:rsid w:val="00F07EC7"/>
    <w:rsid w:val="00F11066"/>
    <w:rsid w:val="00F11654"/>
    <w:rsid w:val="00F118FE"/>
    <w:rsid w:val="00F11BDF"/>
    <w:rsid w:val="00F11D66"/>
    <w:rsid w:val="00F121DF"/>
    <w:rsid w:val="00F1252A"/>
    <w:rsid w:val="00F127FB"/>
    <w:rsid w:val="00F12E02"/>
    <w:rsid w:val="00F130C6"/>
    <w:rsid w:val="00F13C3D"/>
    <w:rsid w:val="00F1404B"/>
    <w:rsid w:val="00F14738"/>
    <w:rsid w:val="00F14F4B"/>
    <w:rsid w:val="00F14F89"/>
    <w:rsid w:val="00F152B3"/>
    <w:rsid w:val="00F152C9"/>
    <w:rsid w:val="00F15CAB"/>
    <w:rsid w:val="00F15CC6"/>
    <w:rsid w:val="00F15E0F"/>
    <w:rsid w:val="00F15F9D"/>
    <w:rsid w:val="00F165C7"/>
    <w:rsid w:val="00F1688E"/>
    <w:rsid w:val="00F16B3C"/>
    <w:rsid w:val="00F17D75"/>
    <w:rsid w:val="00F20074"/>
    <w:rsid w:val="00F20908"/>
    <w:rsid w:val="00F20C00"/>
    <w:rsid w:val="00F20F2E"/>
    <w:rsid w:val="00F2101A"/>
    <w:rsid w:val="00F2125A"/>
    <w:rsid w:val="00F21322"/>
    <w:rsid w:val="00F2236E"/>
    <w:rsid w:val="00F22B54"/>
    <w:rsid w:val="00F23435"/>
    <w:rsid w:val="00F23521"/>
    <w:rsid w:val="00F24446"/>
    <w:rsid w:val="00F244C6"/>
    <w:rsid w:val="00F25515"/>
    <w:rsid w:val="00F269AA"/>
    <w:rsid w:val="00F2734F"/>
    <w:rsid w:val="00F27373"/>
    <w:rsid w:val="00F276B3"/>
    <w:rsid w:val="00F2792D"/>
    <w:rsid w:val="00F279B8"/>
    <w:rsid w:val="00F305F8"/>
    <w:rsid w:val="00F30835"/>
    <w:rsid w:val="00F315CD"/>
    <w:rsid w:val="00F31859"/>
    <w:rsid w:val="00F3239A"/>
    <w:rsid w:val="00F32B29"/>
    <w:rsid w:val="00F332A8"/>
    <w:rsid w:val="00F33A69"/>
    <w:rsid w:val="00F33FE2"/>
    <w:rsid w:val="00F34351"/>
    <w:rsid w:val="00F34667"/>
    <w:rsid w:val="00F34A97"/>
    <w:rsid w:val="00F35040"/>
    <w:rsid w:val="00F35231"/>
    <w:rsid w:val="00F352CD"/>
    <w:rsid w:val="00F352E0"/>
    <w:rsid w:val="00F36D85"/>
    <w:rsid w:val="00F3707A"/>
    <w:rsid w:val="00F37442"/>
    <w:rsid w:val="00F37C23"/>
    <w:rsid w:val="00F40766"/>
    <w:rsid w:val="00F40FBF"/>
    <w:rsid w:val="00F41546"/>
    <w:rsid w:val="00F4183A"/>
    <w:rsid w:val="00F41894"/>
    <w:rsid w:val="00F41CEF"/>
    <w:rsid w:val="00F41D6D"/>
    <w:rsid w:val="00F41F0E"/>
    <w:rsid w:val="00F4322D"/>
    <w:rsid w:val="00F432B3"/>
    <w:rsid w:val="00F43F3D"/>
    <w:rsid w:val="00F4408D"/>
    <w:rsid w:val="00F44DC2"/>
    <w:rsid w:val="00F44FB9"/>
    <w:rsid w:val="00F45240"/>
    <w:rsid w:val="00F45377"/>
    <w:rsid w:val="00F4597E"/>
    <w:rsid w:val="00F4613D"/>
    <w:rsid w:val="00F4615E"/>
    <w:rsid w:val="00F46901"/>
    <w:rsid w:val="00F46C1A"/>
    <w:rsid w:val="00F474AA"/>
    <w:rsid w:val="00F47B5F"/>
    <w:rsid w:val="00F510D1"/>
    <w:rsid w:val="00F51EC9"/>
    <w:rsid w:val="00F5241B"/>
    <w:rsid w:val="00F5299F"/>
    <w:rsid w:val="00F533AC"/>
    <w:rsid w:val="00F535AB"/>
    <w:rsid w:val="00F53EF2"/>
    <w:rsid w:val="00F53F43"/>
    <w:rsid w:val="00F54096"/>
    <w:rsid w:val="00F541B4"/>
    <w:rsid w:val="00F541FE"/>
    <w:rsid w:val="00F55609"/>
    <w:rsid w:val="00F55701"/>
    <w:rsid w:val="00F55B9D"/>
    <w:rsid w:val="00F55F17"/>
    <w:rsid w:val="00F561BF"/>
    <w:rsid w:val="00F56671"/>
    <w:rsid w:val="00F566FD"/>
    <w:rsid w:val="00F56E3F"/>
    <w:rsid w:val="00F56E63"/>
    <w:rsid w:val="00F574AE"/>
    <w:rsid w:val="00F576A9"/>
    <w:rsid w:val="00F605EA"/>
    <w:rsid w:val="00F60896"/>
    <w:rsid w:val="00F60D62"/>
    <w:rsid w:val="00F61604"/>
    <w:rsid w:val="00F62638"/>
    <w:rsid w:val="00F62F36"/>
    <w:rsid w:val="00F63246"/>
    <w:rsid w:val="00F6334E"/>
    <w:rsid w:val="00F6357D"/>
    <w:rsid w:val="00F646BD"/>
    <w:rsid w:val="00F64E42"/>
    <w:rsid w:val="00F6614A"/>
    <w:rsid w:val="00F6616B"/>
    <w:rsid w:val="00F664F5"/>
    <w:rsid w:val="00F66A0F"/>
    <w:rsid w:val="00F66A1E"/>
    <w:rsid w:val="00F66E12"/>
    <w:rsid w:val="00F67699"/>
    <w:rsid w:val="00F679AE"/>
    <w:rsid w:val="00F67A92"/>
    <w:rsid w:val="00F67AE1"/>
    <w:rsid w:val="00F67E25"/>
    <w:rsid w:val="00F67EDB"/>
    <w:rsid w:val="00F70C4C"/>
    <w:rsid w:val="00F712EA"/>
    <w:rsid w:val="00F71366"/>
    <w:rsid w:val="00F71614"/>
    <w:rsid w:val="00F726C0"/>
    <w:rsid w:val="00F72831"/>
    <w:rsid w:val="00F73274"/>
    <w:rsid w:val="00F74E6E"/>
    <w:rsid w:val="00F75409"/>
    <w:rsid w:val="00F7548F"/>
    <w:rsid w:val="00F75492"/>
    <w:rsid w:val="00F75798"/>
    <w:rsid w:val="00F75C8B"/>
    <w:rsid w:val="00F766B3"/>
    <w:rsid w:val="00F77283"/>
    <w:rsid w:val="00F773EF"/>
    <w:rsid w:val="00F77B27"/>
    <w:rsid w:val="00F80189"/>
    <w:rsid w:val="00F809D3"/>
    <w:rsid w:val="00F81606"/>
    <w:rsid w:val="00F816A8"/>
    <w:rsid w:val="00F8226D"/>
    <w:rsid w:val="00F8274F"/>
    <w:rsid w:val="00F82BE4"/>
    <w:rsid w:val="00F82C4C"/>
    <w:rsid w:val="00F8349E"/>
    <w:rsid w:val="00F835D5"/>
    <w:rsid w:val="00F84692"/>
    <w:rsid w:val="00F849BF"/>
    <w:rsid w:val="00F84BCD"/>
    <w:rsid w:val="00F84CB9"/>
    <w:rsid w:val="00F85199"/>
    <w:rsid w:val="00F859F8"/>
    <w:rsid w:val="00F85A3C"/>
    <w:rsid w:val="00F86CA3"/>
    <w:rsid w:val="00F87928"/>
    <w:rsid w:val="00F87A2F"/>
    <w:rsid w:val="00F87AF1"/>
    <w:rsid w:val="00F87F7B"/>
    <w:rsid w:val="00F9007A"/>
    <w:rsid w:val="00F90308"/>
    <w:rsid w:val="00F90508"/>
    <w:rsid w:val="00F90D79"/>
    <w:rsid w:val="00F912A6"/>
    <w:rsid w:val="00F915CF"/>
    <w:rsid w:val="00F91A61"/>
    <w:rsid w:val="00F91C57"/>
    <w:rsid w:val="00F923F4"/>
    <w:rsid w:val="00F92696"/>
    <w:rsid w:val="00F927A1"/>
    <w:rsid w:val="00F928CF"/>
    <w:rsid w:val="00F92A50"/>
    <w:rsid w:val="00F92BB7"/>
    <w:rsid w:val="00F92C71"/>
    <w:rsid w:val="00F92EB4"/>
    <w:rsid w:val="00F933CC"/>
    <w:rsid w:val="00F935A8"/>
    <w:rsid w:val="00F93DBD"/>
    <w:rsid w:val="00F951D1"/>
    <w:rsid w:val="00F95224"/>
    <w:rsid w:val="00F956F7"/>
    <w:rsid w:val="00F95B13"/>
    <w:rsid w:val="00F95EF7"/>
    <w:rsid w:val="00F95FF1"/>
    <w:rsid w:val="00F9672D"/>
    <w:rsid w:val="00F96B42"/>
    <w:rsid w:val="00F9747F"/>
    <w:rsid w:val="00F9756D"/>
    <w:rsid w:val="00F97744"/>
    <w:rsid w:val="00FA0F0C"/>
    <w:rsid w:val="00FA1470"/>
    <w:rsid w:val="00FA1EDC"/>
    <w:rsid w:val="00FA2294"/>
    <w:rsid w:val="00FA2DBF"/>
    <w:rsid w:val="00FA3093"/>
    <w:rsid w:val="00FA38B1"/>
    <w:rsid w:val="00FA51DC"/>
    <w:rsid w:val="00FA5470"/>
    <w:rsid w:val="00FA56CF"/>
    <w:rsid w:val="00FA6142"/>
    <w:rsid w:val="00FA6979"/>
    <w:rsid w:val="00FA6C49"/>
    <w:rsid w:val="00FA6D93"/>
    <w:rsid w:val="00FA6FEC"/>
    <w:rsid w:val="00FA714A"/>
    <w:rsid w:val="00FA77B7"/>
    <w:rsid w:val="00FA7E3E"/>
    <w:rsid w:val="00FA7EDC"/>
    <w:rsid w:val="00FB0035"/>
    <w:rsid w:val="00FB0576"/>
    <w:rsid w:val="00FB0E6A"/>
    <w:rsid w:val="00FB1281"/>
    <w:rsid w:val="00FB1AB4"/>
    <w:rsid w:val="00FB1F43"/>
    <w:rsid w:val="00FB2502"/>
    <w:rsid w:val="00FB2547"/>
    <w:rsid w:val="00FB2811"/>
    <w:rsid w:val="00FB32DD"/>
    <w:rsid w:val="00FB3671"/>
    <w:rsid w:val="00FB3A66"/>
    <w:rsid w:val="00FB3ED8"/>
    <w:rsid w:val="00FB447A"/>
    <w:rsid w:val="00FB54AE"/>
    <w:rsid w:val="00FB56DA"/>
    <w:rsid w:val="00FB58FC"/>
    <w:rsid w:val="00FB59AF"/>
    <w:rsid w:val="00FB5BE1"/>
    <w:rsid w:val="00FB5E71"/>
    <w:rsid w:val="00FB64E1"/>
    <w:rsid w:val="00FB6C4E"/>
    <w:rsid w:val="00FB6DE7"/>
    <w:rsid w:val="00FB7350"/>
    <w:rsid w:val="00FC010C"/>
    <w:rsid w:val="00FC0319"/>
    <w:rsid w:val="00FC0D0E"/>
    <w:rsid w:val="00FC12FE"/>
    <w:rsid w:val="00FC1496"/>
    <w:rsid w:val="00FC152B"/>
    <w:rsid w:val="00FC1E73"/>
    <w:rsid w:val="00FC2BD8"/>
    <w:rsid w:val="00FC31C9"/>
    <w:rsid w:val="00FC370A"/>
    <w:rsid w:val="00FC3778"/>
    <w:rsid w:val="00FC398A"/>
    <w:rsid w:val="00FC4243"/>
    <w:rsid w:val="00FC4A5F"/>
    <w:rsid w:val="00FC4BD9"/>
    <w:rsid w:val="00FC4E3D"/>
    <w:rsid w:val="00FC5B19"/>
    <w:rsid w:val="00FC5B96"/>
    <w:rsid w:val="00FC5F87"/>
    <w:rsid w:val="00FC6CB7"/>
    <w:rsid w:val="00FC6D35"/>
    <w:rsid w:val="00FC6E18"/>
    <w:rsid w:val="00FC7AA9"/>
    <w:rsid w:val="00FD1365"/>
    <w:rsid w:val="00FD1413"/>
    <w:rsid w:val="00FD1720"/>
    <w:rsid w:val="00FD1FF7"/>
    <w:rsid w:val="00FD2284"/>
    <w:rsid w:val="00FD2B85"/>
    <w:rsid w:val="00FD2FA7"/>
    <w:rsid w:val="00FD36FB"/>
    <w:rsid w:val="00FD4139"/>
    <w:rsid w:val="00FD443B"/>
    <w:rsid w:val="00FD44BC"/>
    <w:rsid w:val="00FD4F3F"/>
    <w:rsid w:val="00FD4F9A"/>
    <w:rsid w:val="00FD5000"/>
    <w:rsid w:val="00FD51D8"/>
    <w:rsid w:val="00FD5732"/>
    <w:rsid w:val="00FD5820"/>
    <w:rsid w:val="00FD59E1"/>
    <w:rsid w:val="00FD5E47"/>
    <w:rsid w:val="00FD5FF8"/>
    <w:rsid w:val="00FD680F"/>
    <w:rsid w:val="00FD686F"/>
    <w:rsid w:val="00FD6E77"/>
    <w:rsid w:val="00FD6EDA"/>
    <w:rsid w:val="00FD7514"/>
    <w:rsid w:val="00FE00B1"/>
    <w:rsid w:val="00FE0298"/>
    <w:rsid w:val="00FE030C"/>
    <w:rsid w:val="00FE08AD"/>
    <w:rsid w:val="00FE0A0A"/>
    <w:rsid w:val="00FE10B1"/>
    <w:rsid w:val="00FE11A4"/>
    <w:rsid w:val="00FE14DF"/>
    <w:rsid w:val="00FE17EE"/>
    <w:rsid w:val="00FE185D"/>
    <w:rsid w:val="00FE1B43"/>
    <w:rsid w:val="00FE2166"/>
    <w:rsid w:val="00FE2741"/>
    <w:rsid w:val="00FE32A8"/>
    <w:rsid w:val="00FE3698"/>
    <w:rsid w:val="00FE36E2"/>
    <w:rsid w:val="00FE3D29"/>
    <w:rsid w:val="00FE459C"/>
    <w:rsid w:val="00FE4ED4"/>
    <w:rsid w:val="00FE5E36"/>
    <w:rsid w:val="00FE6903"/>
    <w:rsid w:val="00FE7AD6"/>
    <w:rsid w:val="00FF07EE"/>
    <w:rsid w:val="00FF0BCD"/>
    <w:rsid w:val="00FF0BFB"/>
    <w:rsid w:val="00FF0F8E"/>
    <w:rsid w:val="00FF12C3"/>
    <w:rsid w:val="00FF1A9C"/>
    <w:rsid w:val="00FF2259"/>
    <w:rsid w:val="00FF238D"/>
    <w:rsid w:val="00FF2BEB"/>
    <w:rsid w:val="00FF3833"/>
    <w:rsid w:val="00FF4707"/>
    <w:rsid w:val="00FF4AC4"/>
    <w:rsid w:val="00FF5CD8"/>
    <w:rsid w:val="00FF5EDC"/>
    <w:rsid w:val="00FF6A5C"/>
    <w:rsid w:val="00FF6C8C"/>
    <w:rsid w:val="00FF6EE0"/>
    <w:rsid w:val="00FF6F54"/>
    <w:rsid w:val="00FF74B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103568"/>
  <w15:docId w15:val="{E3F5DB03-DF8A-49FF-988A-300DAFAB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uiPriority="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B6B"/>
    <w:pPr>
      <w:spacing w:after="240" w:line="320" w:lineRule="atLeast"/>
    </w:pPr>
    <w:rPr>
      <w:rFonts w:ascii="Verdana" w:eastAsia="SimSun" w:hAnsi="Verdana"/>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150E99"/>
    <w:pPr>
      <w:keepNext/>
      <w:spacing w:before="720" w:after="480" w:line="240" w:lineRule="auto"/>
      <w:jc w:val="center"/>
      <w:outlineLvl w:val="1"/>
    </w:pPr>
    <w:rPr>
      <w:b/>
      <w:bCs/>
      <w:color w:val="1F497D"/>
      <w:kern w:val="32"/>
      <w:sz w:val="28"/>
      <w:szCs w:val="32"/>
      <w:lang w:val="x-none" w:eastAsia="x-none"/>
    </w:rPr>
  </w:style>
  <w:style w:type="paragraph" w:styleId="Heading3">
    <w:name w:val="heading 3"/>
    <w:basedOn w:val="Normal"/>
    <w:next w:val="Normal"/>
    <w:link w:val="Heading3Char"/>
    <w:qFormat/>
    <w:rsid w:val="00EB0E16"/>
    <w:pPr>
      <w:keepNext/>
      <w:tabs>
        <w:tab w:val="left" w:pos="720"/>
      </w:tabs>
      <w:spacing w:before="120" w:after="120" w:line="240" w:lineRule="auto"/>
      <w:ind w:left="720" w:hanging="720"/>
      <w:outlineLvl w:val="2"/>
    </w:pPr>
    <w:rPr>
      <w:b/>
      <w:bCs/>
      <w:sz w:val="22"/>
      <w:szCs w:val="28"/>
      <w:lang w:val="x-none" w:eastAsia="x-none"/>
    </w:rPr>
  </w:style>
  <w:style w:type="paragraph" w:styleId="Heading4">
    <w:name w:val="heading 4"/>
    <w:basedOn w:val="Normal"/>
    <w:next w:val="Normal"/>
    <w:link w:val="Heading4Char"/>
    <w:qFormat/>
    <w:rsid w:val="002F0369"/>
    <w:pPr>
      <w:keepNext/>
      <w:tabs>
        <w:tab w:val="left" w:pos="864"/>
      </w:tabs>
      <w:spacing w:after="120"/>
      <w:ind w:left="864" w:hanging="864"/>
      <w:outlineLvl w:val="3"/>
    </w:pPr>
    <w:rPr>
      <w:b/>
      <w:bCs/>
      <w:i/>
      <w:szCs w:val="26"/>
      <w:lang w:val="x-none" w:eastAsia="x-none"/>
    </w:rPr>
  </w:style>
  <w:style w:type="paragraph" w:styleId="Heading5">
    <w:name w:val="heading 5"/>
    <w:basedOn w:val="Normal"/>
    <w:next w:val="Normal"/>
    <w:link w:val="Heading5Char"/>
    <w:unhideWhenUsed/>
    <w:qFormat/>
    <w:rsid w:val="00061D9C"/>
    <w:pPr>
      <w:keepNext/>
      <w:tabs>
        <w:tab w:val="left" w:pos="864"/>
      </w:tabs>
      <w:spacing w:after="120"/>
      <w:ind w:left="864" w:hanging="864"/>
      <w:outlineLvl w:val="4"/>
    </w:pPr>
    <w:rPr>
      <w:rFonts w:cs="Arial"/>
      <w:bCs/>
      <w:i/>
      <w:iCs/>
      <w:szCs w:val="24"/>
      <w:lang w:eastAsia="x-none"/>
    </w:rPr>
  </w:style>
  <w:style w:type="paragraph" w:styleId="Heading6">
    <w:name w:val="heading 6"/>
    <w:basedOn w:val="Normal"/>
    <w:next w:val="Normal"/>
    <w:link w:val="Heading6Char"/>
    <w:qFormat/>
    <w:rsid w:val="00EF03E3"/>
    <w:pPr>
      <w:keepNext/>
      <w:keepLines/>
      <w:outlineLvl w:val="5"/>
    </w:pPr>
    <w:rPr>
      <w:rFonts w:ascii="Arial" w:hAnsi="Arial" w:cs="Arial"/>
      <w:szCs w:val="24"/>
      <w:u w:val="single"/>
      <w:lang w:eastAsia="x-none"/>
    </w:rPr>
  </w:style>
  <w:style w:type="paragraph" w:styleId="Heading7">
    <w:name w:val="heading 7"/>
    <w:basedOn w:val="Normal"/>
    <w:next w:val="Normal"/>
    <w:link w:val="Heading7Char"/>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qFormat/>
    <w:rsid w:val="0004170B"/>
    <w:pPr>
      <w:spacing w:before="240" w:after="60" w:line="240" w:lineRule="auto"/>
      <w:outlineLvl w:val="8"/>
    </w:pPr>
    <w:rPr>
      <w:rFonts w:ascii="Arial" w:hAnsi="Arial"/>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150E99"/>
    <w:rPr>
      <w:rFonts w:ascii="Verdana" w:eastAsia="SimSun" w:hAnsi="Verdana"/>
      <w:b/>
      <w:bCs/>
      <w:color w:val="1F497D"/>
      <w:kern w:val="32"/>
      <w:sz w:val="28"/>
      <w:szCs w:val="32"/>
      <w:lang w:val="x-none" w:eastAsia="x-none"/>
    </w:rPr>
  </w:style>
  <w:style w:type="character" w:customStyle="1" w:styleId="Heading3Char">
    <w:name w:val="Heading 3 Char"/>
    <w:link w:val="Heading3"/>
    <w:locked/>
    <w:rsid w:val="00EB0E16"/>
    <w:rPr>
      <w:rFonts w:ascii="Verdana" w:eastAsia="SimSun" w:hAnsi="Verdana"/>
      <w:b/>
      <w:bCs/>
      <w:sz w:val="22"/>
      <w:szCs w:val="28"/>
      <w:lang w:val="x-none" w:eastAsia="x-none"/>
    </w:rPr>
  </w:style>
  <w:style w:type="character" w:customStyle="1" w:styleId="Heading4Char">
    <w:name w:val="Heading 4 Char"/>
    <w:link w:val="Heading4"/>
    <w:locked/>
    <w:rsid w:val="002F0369"/>
    <w:rPr>
      <w:rFonts w:ascii="Verdana" w:eastAsia="SimSun" w:hAnsi="Verdana"/>
      <w:b/>
      <w:bCs/>
      <w:i/>
      <w:szCs w:val="26"/>
      <w:lang w:val="x-none" w:eastAsia="x-none"/>
    </w:rPr>
  </w:style>
  <w:style w:type="character" w:customStyle="1" w:styleId="Heading5Char">
    <w:name w:val="Heading 5 Char"/>
    <w:link w:val="Heading5"/>
    <w:locked/>
    <w:rsid w:val="00061D9C"/>
    <w:rPr>
      <w:rFonts w:ascii="Verdana" w:eastAsia="SimSun" w:hAnsi="Verdana" w:cs="Arial"/>
      <w:bCs/>
      <w:i/>
      <w:iCs/>
      <w:szCs w:val="24"/>
      <w:lang w:eastAsia="x-none"/>
    </w:rPr>
  </w:style>
  <w:style w:type="character" w:customStyle="1" w:styleId="Heading6Char">
    <w:name w:val="Heading 6 Char"/>
    <w:link w:val="Heading6"/>
    <w:locked/>
    <w:rsid w:val="00E4037B"/>
    <w:rPr>
      <w:rFonts w:ascii="Arial" w:hAnsi="Arial" w:cs="Arial"/>
      <w:sz w:val="24"/>
      <w:szCs w:val="24"/>
      <w:u w:val="single"/>
      <w:lang w:eastAsia="x-none"/>
    </w:rPr>
  </w:style>
  <w:style w:type="character" w:customStyle="1" w:styleId="Heading7Char">
    <w:name w:val="Heading 7 Char"/>
    <w:link w:val="Heading7"/>
    <w:locked/>
    <w:rsid w:val="00E4037B"/>
    <w:rPr>
      <w:sz w:val="24"/>
      <w:szCs w:val="24"/>
      <w:lang w:val="x-none" w:eastAsia="x-none"/>
    </w:rPr>
  </w:style>
  <w:style w:type="character" w:customStyle="1" w:styleId="Heading8Char">
    <w:name w:val="Heading 8 Char"/>
    <w:link w:val="Heading8"/>
    <w:locked/>
    <w:rsid w:val="00E4037B"/>
    <w:rPr>
      <w:i/>
      <w:iCs/>
      <w:sz w:val="24"/>
      <w:szCs w:val="24"/>
      <w:lang w:val="x-none" w:eastAsia="x-none"/>
    </w:rPr>
  </w:style>
  <w:style w:type="character" w:customStyle="1" w:styleId="Heading9Char">
    <w:name w:val="Heading 9 Char"/>
    <w:link w:val="Heading9"/>
    <w:locked/>
    <w:rsid w:val="00E4037B"/>
    <w:rPr>
      <w:rFonts w:ascii="Arial" w:hAnsi="Arial"/>
      <w:szCs w:val="22"/>
      <w:lang w:val="x-none" w:eastAsia="x-none"/>
    </w:rPr>
  </w:style>
  <w:style w:type="character" w:styleId="Hyperlink">
    <w:name w:val="Hyperlink"/>
    <w:uiPriority w:val="99"/>
    <w:rsid w:val="005E3C68"/>
    <w:rPr>
      <w:rFonts w:cs="Times New Roman"/>
      <w:color w:val="1F419A"/>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rsid w:val="00C84A6B"/>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sz w:val="24"/>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lang w:val="x-none" w:eastAsia="x-none"/>
    </w:rPr>
  </w:style>
  <w:style w:type="character" w:customStyle="1" w:styleId="FootnoteTextChar">
    <w:name w:val="Footnote Text Char"/>
    <w:link w:val="FootnoteText"/>
    <w:locked/>
    <w:rsid w:val="00150A56"/>
    <w:rPr>
      <w:lang w:val="x-none" w:eastAsia="x-none"/>
    </w:rPr>
  </w:style>
  <w:style w:type="character" w:styleId="FootnoteReference">
    <w:name w:val="footnote reference"/>
    <w:rsid w:val="0097284A"/>
    <w:rPr>
      <w:rFonts w:ascii="Times New Roman" w:hAnsi="Times New Roman" w:cs="Times New Roman"/>
      <w:color w:val="auto"/>
      <w:sz w:val="24"/>
      <w:vertAlign w:val="superscript"/>
    </w:rPr>
  </w:style>
  <w:style w:type="table" w:styleId="TableGrid">
    <w:name w:val="Table Grid"/>
    <w:basedOn w:val="TableNormal"/>
    <w:uiPriority w:val="39"/>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A252A"/>
    <w:pPr>
      <w:spacing w:before="100" w:beforeAutospacing="1" w:after="100" w:afterAutospacing="1"/>
    </w:pPr>
    <w:rPr>
      <w:color w:val="000000"/>
    </w:rPr>
  </w:style>
  <w:style w:type="character" w:styleId="FollowedHyperlink">
    <w:name w:val="FollowedHyperlink"/>
    <w:rsid w:val="005E3C68"/>
    <w:rPr>
      <w:rFonts w:cs="Times New Roman"/>
      <w:color w:val="CD3835"/>
      <w:u w:val="single"/>
    </w:rPr>
  </w:style>
  <w:style w:type="paragraph" w:styleId="TOCHeading">
    <w:name w:val="TOC Heading"/>
    <w:basedOn w:val="Normal"/>
    <w:next w:val="Normal"/>
    <w:qFormat/>
    <w:rsid w:val="0097284A"/>
    <w:pPr>
      <w:spacing w:after="720"/>
      <w:jc w:val="center"/>
      <w:outlineLvl w:val="1"/>
    </w:pPr>
    <w:rPr>
      <w:rFonts w:ascii="Arial Bold" w:hAnsi="Arial Bold" w:cs="Arial"/>
      <w:b/>
      <w:bCs/>
      <w:smallCaps/>
      <w:sz w:val="28"/>
      <w:szCs w:val="28"/>
    </w:rPr>
  </w:style>
  <w:style w:type="paragraph" w:styleId="BodyText">
    <w:name w:val="Body Text"/>
    <w:basedOn w:val="Normal"/>
    <w:link w:val="BodyTextChar"/>
    <w:uiPriority w:val="99"/>
    <w:rsid w:val="00E4037B"/>
    <w:rPr>
      <w:lang w:val="x-none" w:eastAsia="x-none"/>
    </w:rPr>
  </w:style>
  <w:style w:type="character" w:customStyle="1" w:styleId="BodyTextChar">
    <w:name w:val="Body Text Char"/>
    <w:link w:val="BodyText"/>
    <w:uiPriority w:val="99"/>
    <w:locked/>
    <w:rsid w:val="00E4037B"/>
    <w:rPr>
      <w:sz w:val="24"/>
      <w:lang w:val="x-none" w:eastAsia="x-none"/>
    </w:rPr>
  </w:style>
  <w:style w:type="paragraph" w:styleId="ListBullet">
    <w:name w:val="List Bullet"/>
    <w:basedOn w:val="Normal"/>
    <w:uiPriority w:val="99"/>
    <w:rsid w:val="00C72A90"/>
    <w:pPr>
      <w:numPr>
        <w:numId w:val="1"/>
      </w:numPr>
      <w:ind w:left="792"/>
      <w:contextualSpacing/>
    </w:pPr>
    <w:rPr>
      <w:szCs w:val="24"/>
    </w:rPr>
  </w:style>
  <w:style w:type="paragraph" w:customStyle="1" w:styleId="ExhibitCaption">
    <w:name w:val="Exhibit Caption"/>
    <w:basedOn w:val="Caption"/>
    <w:qFormat/>
    <w:rsid w:val="004408FC"/>
    <w:pPr>
      <w:keepNext/>
      <w:keepLines/>
      <w:spacing w:after="120" w:line="240" w:lineRule="auto"/>
      <w:jc w:val="center"/>
    </w:pPr>
    <w:rPr>
      <w:rFonts w:cs="Arial"/>
    </w:rPr>
  </w:style>
  <w:style w:type="paragraph" w:customStyle="1" w:styleId="TableText">
    <w:name w:val="Table Text"/>
    <w:basedOn w:val="Normal"/>
    <w:qFormat/>
    <w:rsid w:val="00FD5732"/>
    <w:pPr>
      <w:widowControl w:val="0"/>
      <w:spacing w:before="40" w:after="40" w:line="240" w:lineRule="auto"/>
    </w:pPr>
    <w:rPr>
      <w:rFonts w:eastAsia="Batang"/>
    </w:rPr>
  </w:style>
  <w:style w:type="paragraph" w:styleId="ListNumber2">
    <w:name w:val="List Number 2"/>
    <w:aliases w:val="ac2,af2,ag2,ah2,AppE"/>
    <w:basedOn w:val="Normal"/>
    <w:uiPriority w:val="99"/>
    <w:rsid w:val="002A16FC"/>
    <w:pPr>
      <w:keepNext/>
      <w:numPr>
        <w:numId w:val="11"/>
      </w:numPr>
      <w:tabs>
        <w:tab w:val="left" w:pos="576"/>
      </w:tabs>
      <w:spacing w:before="360" w:after="120" w:line="240" w:lineRule="auto"/>
    </w:pPr>
  </w:style>
  <w:style w:type="paragraph" w:customStyle="1" w:styleId="List-Letter">
    <w:name w:val="List - Letter"/>
    <w:basedOn w:val="Normal"/>
    <w:qFormat/>
    <w:rsid w:val="00AF7B4D"/>
    <w:pPr>
      <w:tabs>
        <w:tab w:val="left" w:pos="720"/>
      </w:tabs>
      <w:ind w:left="720" w:hanging="360"/>
    </w:pPr>
  </w:style>
  <w:style w:type="paragraph" w:customStyle="1" w:styleId="List-Number">
    <w:name w:val="List - Number"/>
    <w:basedOn w:val="List-Letter"/>
    <w:qFormat/>
    <w:rsid w:val="00EA66E4"/>
    <w:rPr>
      <w:szCs w:val="24"/>
    </w:rPr>
  </w:style>
  <w:style w:type="paragraph" w:styleId="TOC1">
    <w:name w:val="toc 1"/>
    <w:basedOn w:val="Normal"/>
    <w:next w:val="Normal"/>
    <w:uiPriority w:val="39"/>
    <w:rsid w:val="00FD51D8"/>
    <w:pPr>
      <w:tabs>
        <w:tab w:val="right" w:pos="9350"/>
      </w:tabs>
      <w:spacing w:line="240" w:lineRule="auto"/>
      <w:ind w:right="576"/>
    </w:pPr>
    <w:rPr>
      <w:b/>
      <w:i/>
      <w:noProof/>
    </w:rPr>
  </w:style>
  <w:style w:type="paragraph" w:styleId="TOC2">
    <w:name w:val="toc 2"/>
    <w:basedOn w:val="Normal"/>
    <w:next w:val="Normal"/>
    <w:uiPriority w:val="39"/>
    <w:rsid w:val="00FD51D8"/>
    <w:pPr>
      <w:tabs>
        <w:tab w:val="left" w:pos="630"/>
        <w:tab w:val="right" w:pos="9360"/>
      </w:tabs>
      <w:spacing w:line="240" w:lineRule="auto"/>
      <w:ind w:left="1268" w:right="576" w:hanging="634"/>
      <w:contextualSpacing/>
    </w:pPr>
    <w:rPr>
      <w:noProof/>
      <w:szCs w:val="24"/>
    </w:rPr>
  </w:style>
  <w:style w:type="paragraph" w:styleId="TOC3">
    <w:name w:val="toc 3"/>
    <w:basedOn w:val="Normal"/>
    <w:next w:val="Normal"/>
    <w:autoRedefine/>
    <w:uiPriority w:val="39"/>
    <w:rsid w:val="0097284A"/>
    <w:pPr>
      <w:ind w:left="480"/>
    </w:pPr>
  </w:style>
  <w:style w:type="paragraph" w:styleId="TOC4">
    <w:name w:val="toc 4"/>
    <w:basedOn w:val="Normal"/>
    <w:next w:val="Normal"/>
    <w:autoRedefine/>
    <w:uiPriority w:val="39"/>
    <w:rsid w:val="0097284A"/>
    <w:pPr>
      <w:tabs>
        <w:tab w:val="right" w:pos="9360"/>
      </w:tabs>
      <w:spacing w:after="60" w:line="240" w:lineRule="auto"/>
      <w:ind w:left="1620" w:right="450" w:hanging="1260"/>
    </w:pPr>
    <w:rPr>
      <w:bCs/>
      <w:noProof/>
      <w:szCs w:val="24"/>
    </w:rPr>
  </w:style>
  <w:style w:type="paragraph" w:styleId="TOC5">
    <w:name w:val="toc 5"/>
    <w:basedOn w:val="Normal"/>
    <w:next w:val="Normal"/>
    <w:autoRedefine/>
    <w:uiPriority w:val="39"/>
    <w:rsid w:val="00D45A54"/>
    <w:pPr>
      <w:spacing w:after="100" w:line="276" w:lineRule="auto"/>
      <w:ind w:left="880"/>
    </w:pPr>
    <w:rPr>
      <w:rFonts w:ascii="Calibri" w:hAnsi="Calibri"/>
      <w:sz w:val="22"/>
      <w:szCs w:val="22"/>
    </w:rPr>
  </w:style>
  <w:style w:type="paragraph" w:styleId="TOC6">
    <w:name w:val="toc 6"/>
    <w:basedOn w:val="Normal"/>
    <w:next w:val="Normal"/>
    <w:autoRedefine/>
    <w:uiPriority w:val="39"/>
    <w:rsid w:val="00D45A54"/>
    <w:pPr>
      <w:spacing w:after="100" w:line="276" w:lineRule="auto"/>
      <w:ind w:left="1100"/>
    </w:pPr>
    <w:rPr>
      <w:rFonts w:ascii="Calibri" w:hAnsi="Calibri"/>
      <w:sz w:val="22"/>
      <w:szCs w:val="22"/>
    </w:rPr>
  </w:style>
  <w:style w:type="paragraph" w:styleId="TOC7">
    <w:name w:val="toc 7"/>
    <w:basedOn w:val="Normal"/>
    <w:next w:val="Normal"/>
    <w:autoRedefine/>
    <w:uiPriority w:val="39"/>
    <w:rsid w:val="00D45A54"/>
    <w:pPr>
      <w:spacing w:after="100" w:line="276" w:lineRule="auto"/>
      <w:ind w:left="1320"/>
    </w:pPr>
    <w:rPr>
      <w:rFonts w:ascii="Calibri" w:hAnsi="Calibri"/>
      <w:sz w:val="22"/>
      <w:szCs w:val="22"/>
    </w:rPr>
  </w:style>
  <w:style w:type="paragraph" w:styleId="TOC8">
    <w:name w:val="toc 8"/>
    <w:basedOn w:val="Normal"/>
    <w:next w:val="Normal"/>
    <w:autoRedefine/>
    <w:uiPriority w:val="39"/>
    <w:rsid w:val="00D45A54"/>
    <w:pPr>
      <w:spacing w:after="100" w:line="276" w:lineRule="auto"/>
      <w:ind w:left="1540"/>
    </w:pPr>
    <w:rPr>
      <w:rFonts w:ascii="Calibri" w:hAnsi="Calibri"/>
      <w:sz w:val="22"/>
      <w:szCs w:val="22"/>
    </w:rPr>
  </w:style>
  <w:style w:type="paragraph" w:styleId="TOC9">
    <w:name w:val="toc 9"/>
    <w:basedOn w:val="Normal"/>
    <w:next w:val="Normal"/>
    <w:autoRedefine/>
    <w:uiPriority w:val="39"/>
    <w:rsid w:val="00D45A54"/>
    <w:pPr>
      <w:spacing w:after="100" w:line="276" w:lineRule="auto"/>
      <w:ind w:left="1760"/>
    </w:pPr>
    <w:rPr>
      <w:rFonts w:ascii="Calibri" w:hAnsi="Calibri"/>
      <w:sz w:val="22"/>
      <w:szCs w:val="22"/>
    </w:rPr>
  </w:style>
  <w:style w:type="paragraph" w:customStyle="1" w:styleId="TableCaption">
    <w:name w:val="Table Caption"/>
    <w:basedOn w:val="Caption"/>
    <w:qFormat/>
    <w:rsid w:val="003264F7"/>
    <w:pPr>
      <w:keepNext/>
      <w:keepLines/>
      <w:spacing w:after="120" w:line="240" w:lineRule="auto"/>
      <w:jc w:val="center"/>
    </w:pPr>
    <w:rPr>
      <w:sz w:val="18"/>
    </w:rPr>
  </w:style>
  <w:style w:type="paragraph" w:styleId="Title">
    <w:name w:val="Title"/>
    <w:basedOn w:val="Normal"/>
    <w:link w:val="TitleChar"/>
    <w:uiPriority w:val="10"/>
    <w:qFormat/>
    <w:rsid w:val="00DF34A9"/>
    <w:pPr>
      <w:shd w:val="clear" w:color="auto" w:fill="000000"/>
      <w:spacing w:after="1920" w:line="240" w:lineRule="auto"/>
      <w:jc w:val="center"/>
      <w:outlineLvl w:val="0"/>
    </w:pPr>
    <w:rPr>
      <w:rFonts w:ascii="Arial" w:hAnsi="Arial"/>
      <w:b/>
      <w:bCs/>
      <w:color w:val="FFFFFF"/>
      <w:sz w:val="56"/>
      <w:szCs w:val="56"/>
      <w:lang w:val="x-none" w:eastAsia="x-none"/>
    </w:rPr>
  </w:style>
  <w:style w:type="character" w:customStyle="1" w:styleId="TitleChar">
    <w:name w:val="Title Char"/>
    <w:link w:val="Title"/>
    <w:uiPriority w:val="10"/>
    <w:locked/>
    <w:rsid w:val="00DF34A9"/>
    <w:rPr>
      <w:rFonts w:ascii="Arial" w:hAnsi="Arial"/>
      <w:b/>
      <w:bCs/>
      <w:color w:val="FFFFFF"/>
      <w:sz w:val="56"/>
      <w:szCs w:val="56"/>
      <w:shd w:val="clear" w:color="auto" w:fill="000000"/>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styleId="HTMLPreformatted">
    <w:name w:val="HTML Preformatted"/>
    <w:basedOn w:val="Normal"/>
    <w:link w:val="HTMLPreformattedChar"/>
    <w:uiPriority w:val="99"/>
    <w:unhideWhenUsed/>
    <w:rsid w:val="00C1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lang w:val="x-none" w:eastAsia="x-none"/>
    </w:rPr>
  </w:style>
  <w:style w:type="character" w:customStyle="1" w:styleId="HTMLPreformattedChar">
    <w:name w:val="HTML Preformatted Char"/>
    <w:link w:val="HTMLPreformatted"/>
    <w:uiPriority w:val="99"/>
    <w:locked/>
    <w:rsid w:val="007B35AC"/>
    <w:rPr>
      <w:rFonts w:ascii="Courier New" w:hAnsi="Courier New" w:cs="Courier New"/>
    </w:rPr>
  </w:style>
  <w:style w:type="paragraph" w:customStyle="1" w:styleId="Default">
    <w:name w:val="Default"/>
    <w:rsid w:val="009507EE"/>
    <w:pPr>
      <w:autoSpaceDE w:val="0"/>
      <w:autoSpaceDN w:val="0"/>
      <w:adjustRightInd w:val="0"/>
    </w:pPr>
    <w:rPr>
      <w:rFonts w:ascii="Arial" w:eastAsia="SimSun" w:hAnsi="Arial" w:cs="Arial"/>
      <w:color w:val="000000"/>
      <w:sz w:val="24"/>
      <w:szCs w:val="24"/>
      <w:lang w:eastAsia="en-US"/>
    </w:rPr>
  </w:style>
  <w:style w:type="paragraph" w:customStyle="1" w:styleId="QuexHeading1">
    <w:name w:val="Quex Heading 1"/>
    <w:basedOn w:val="Heading1"/>
    <w:qFormat/>
    <w:rsid w:val="009507EE"/>
    <w:pPr>
      <w:pBdr>
        <w:top w:val="single" w:sz="4" w:space="1" w:color="auto"/>
        <w:left w:val="single" w:sz="4" w:space="4" w:color="auto"/>
        <w:bottom w:val="single" w:sz="4" w:space="1" w:color="auto"/>
        <w:right w:val="single" w:sz="4" w:space="4" w:color="auto"/>
      </w:pBdr>
      <w:shd w:val="clear" w:color="auto" w:fill="DDDDDD"/>
      <w:spacing w:before="0" w:line="320" w:lineRule="atLeast"/>
      <w:outlineLvl w:val="3"/>
    </w:pPr>
    <w:rPr>
      <w:u w:val="none"/>
    </w:rPr>
  </w:style>
  <w:style w:type="paragraph" w:styleId="Caption">
    <w:name w:val="caption"/>
    <w:basedOn w:val="Normal"/>
    <w:next w:val="Normal"/>
    <w:qFormat/>
    <w:rsid w:val="00BA1E64"/>
    <w:rPr>
      <w:b/>
      <w:bCs/>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rPr>
  </w:style>
  <w:style w:type="paragraph" w:styleId="BodyText3">
    <w:name w:val="Body Text 3"/>
    <w:basedOn w:val="Normal"/>
    <w:link w:val="BodyText3Char"/>
    <w:rsid w:val="0004170B"/>
    <w:pPr>
      <w:spacing w:after="360" w:line="240" w:lineRule="auto"/>
    </w:pPr>
    <w:rPr>
      <w:rFonts w:ascii="Arial" w:hAnsi="Arial"/>
      <w:b/>
      <w:i/>
      <w:lang w:val="x-none" w:eastAsia="x-none"/>
    </w:rPr>
  </w:style>
  <w:style w:type="character" w:customStyle="1" w:styleId="BodyText3Char">
    <w:name w:val="Body Text 3 Char"/>
    <w:link w:val="BodyText3"/>
    <w:locked/>
    <w:rsid w:val="0004170B"/>
    <w:rPr>
      <w:rFonts w:ascii="Arial" w:hAnsi="Arial" w:cs="Arial"/>
      <w:b/>
      <w:i/>
    </w:rPr>
  </w:style>
  <w:style w:type="paragraph" w:styleId="BodyTextFirstIndent">
    <w:name w:val="Body Text First Indent"/>
    <w:basedOn w:val="Normal"/>
    <w:link w:val="BodyTextFirstIndentChar"/>
    <w:rsid w:val="0004170B"/>
    <w:pPr>
      <w:spacing w:line="240" w:lineRule="auto"/>
      <w:ind w:firstLine="210"/>
    </w:pPr>
    <w:rPr>
      <w:rFonts w:ascii="Arial" w:hAnsi="Arial"/>
      <w:lang w:val="x-none" w:eastAsia="x-none"/>
    </w:rPr>
  </w:style>
  <w:style w:type="character" w:customStyle="1" w:styleId="BodyTextFirstIndentChar">
    <w:name w:val="Body Text First Indent Char"/>
    <w:link w:val="BodyTextFirstIndent"/>
    <w:locked/>
    <w:rsid w:val="0004170B"/>
    <w:rPr>
      <w:rFonts w:ascii="Arial" w:hAnsi="Arial" w:cs="Times New Roman"/>
      <w:sz w:val="24"/>
    </w:rPr>
  </w:style>
  <w:style w:type="paragraph" w:styleId="BodyTextIndent">
    <w:name w:val="Body Text Indent"/>
    <w:aliases w:val="Body Text Indent_telephone"/>
    <w:basedOn w:val="ListNumber2"/>
    <w:link w:val="BodyTextIndentChar"/>
    <w:rsid w:val="001A35E0"/>
    <w:pPr>
      <w:numPr>
        <w:numId w:val="0"/>
      </w:numPr>
      <w:spacing w:after="240"/>
    </w:pPr>
    <w:rPr>
      <w:lang w:val="es-MX" w:eastAsia="x-none"/>
    </w:rPr>
  </w:style>
  <w:style w:type="character" w:customStyle="1" w:styleId="BodyTextIndentChar">
    <w:name w:val="Body Text Indent Char"/>
    <w:aliases w:val="Body Text Indent_telephone Char"/>
    <w:link w:val="BodyTextIndent"/>
    <w:locked/>
    <w:rsid w:val="001A35E0"/>
    <w:rPr>
      <w:rFonts w:cs="Times New Roman"/>
      <w:sz w:val="24"/>
      <w:lang w:val="es-MX" w:eastAsia="x-none"/>
    </w:rPr>
  </w:style>
  <w:style w:type="paragraph" w:styleId="BodyTextFirstIndent2">
    <w:name w:val="Body Text First Indent 2"/>
    <w:basedOn w:val="Normal"/>
    <w:link w:val="BodyTextFirstIndent2Char"/>
    <w:rsid w:val="0004170B"/>
    <w:pPr>
      <w:spacing w:line="240" w:lineRule="auto"/>
      <w:ind w:firstLine="210"/>
    </w:pPr>
    <w:rPr>
      <w:rFonts w:ascii="Arial" w:hAnsi="Arial"/>
    </w:rPr>
  </w:style>
  <w:style w:type="character" w:customStyle="1" w:styleId="BodyTextFirstIndent2Char">
    <w:name w:val="Body Text First Indent 2 Char"/>
    <w:link w:val="BodyTextFirstIndent2"/>
    <w:locked/>
    <w:rsid w:val="0004170B"/>
    <w:rPr>
      <w:rFonts w:cs="Times New Roman"/>
      <w:sz w:val="24"/>
      <w:lang w:val="es-MX" w:eastAsia="x-none"/>
    </w:rPr>
  </w:style>
  <w:style w:type="paragraph" w:styleId="Closing">
    <w:name w:val="Closing"/>
    <w:basedOn w:val="Normal"/>
    <w:link w:val="ClosingChar"/>
    <w:rsid w:val="0004170B"/>
    <w:pPr>
      <w:spacing w:line="240" w:lineRule="auto"/>
      <w:ind w:left="4320"/>
    </w:pPr>
    <w:rPr>
      <w:rFonts w:ascii="Arial" w:hAnsi="Arial"/>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871B10"/>
    <w:pPr>
      <w:spacing w:after="1920" w:line="240" w:lineRule="auto"/>
      <w:jc w:val="center"/>
    </w:pPr>
    <w:rPr>
      <w:rFonts w:ascii="Arial" w:hAnsi="Arial"/>
      <w:b/>
      <w:bCs/>
      <w:sz w:val="40"/>
      <w:szCs w:val="40"/>
      <w:lang w:val="x-none" w:eastAsia="x-none"/>
    </w:rPr>
  </w:style>
  <w:style w:type="character" w:customStyle="1" w:styleId="DateChar">
    <w:name w:val="Date Char"/>
    <w:link w:val="Date"/>
    <w:locked/>
    <w:rsid w:val="00871B10"/>
    <w:rPr>
      <w:rFonts w:ascii="Arial" w:hAnsi="Arial"/>
      <w:b/>
      <w:bCs/>
      <w:sz w:val="40"/>
      <w:szCs w:val="40"/>
      <w:lang w:val="x-none" w:eastAsia="x-none"/>
    </w:rPr>
  </w:style>
  <w:style w:type="paragraph" w:styleId="E-mailSignature">
    <w:name w:val="E-mail Signature"/>
    <w:basedOn w:val="Normal"/>
    <w:link w:val="E-mailSignatureChar"/>
    <w:rsid w:val="0004170B"/>
    <w:pPr>
      <w:spacing w:line="240" w:lineRule="auto"/>
    </w:pPr>
    <w:rPr>
      <w:rFonts w:ascii="Arial" w:hAnsi="Arial"/>
      <w:lang w:val="x-none" w:eastAsia="x-none"/>
    </w:rPr>
  </w:style>
  <w:style w:type="character" w:customStyle="1" w:styleId="E-mailSignatureChar">
    <w:name w:val="E-mail Signature Char"/>
    <w:link w:val="E-mailSignature"/>
    <w:locked/>
    <w:rsid w:val="0004170B"/>
    <w:rPr>
      <w:rFonts w:ascii="Arial" w:hAnsi="Arial" w:cs="Times New Roman"/>
    </w:rPr>
  </w:style>
  <w:style w:type="paragraph" w:styleId="EnvelopeAddress">
    <w:name w:val="envelope address"/>
    <w:basedOn w:val="Normal"/>
    <w:rsid w:val="0004170B"/>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04170B"/>
    <w:pPr>
      <w:spacing w:line="240" w:lineRule="auto"/>
    </w:pPr>
    <w:rPr>
      <w:rFonts w:ascii="Arial" w:hAnsi="Arial" w:cs="Arial"/>
    </w:rPr>
  </w:style>
  <w:style w:type="character" w:styleId="HTMLAcronym">
    <w:name w:val="HTML Acronym"/>
    <w:unhideWhenUsed/>
    <w:rsid w:val="0004170B"/>
    <w:rPr>
      <w:rFonts w:cs="Times New Roman"/>
    </w:rPr>
  </w:style>
  <w:style w:type="paragraph" w:styleId="HTMLAddress">
    <w:name w:val="HTML Address"/>
    <w:basedOn w:val="Normal"/>
    <w:link w:val="HTMLAddressChar"/>
    <w:unhideWhenUsed/>
    <w:rsid w:val="0004170B"/>
    <w:pPr>
      <w:spacing w:line="240" w:lineRule="auto"/>
    </w:pPr>
    <w:rPr>
      <w:rFonts w:ascii="Arial" w:hAnsi="Arial"/>
      <w:i/>
      <w:iCs/>
      <w:lang w:val="x-none" w:eastAsia="x-none"/>
    </w:rPr>
  </w:style>
  <w:style w:type="character" w:customStyle="1" w:styleId="HTMLAddressChar">
    <w:name w:val="HTML Address Char"/>
    <w:link w:val="HTMLAddress"/>
    <w:locked/>
    <w:rsid w:val="007B35AC"/>
    <w:rPr>
      <w:rFonts w:ascii="Arial" w:hAnsi="Arial"/>
      <w:i/>
      <w:iCs/>
    </w:rPr>
  </w:style>
  <w:style w:type="character" w:styleId="HTMLCite">
    <w:name w:val="HTML Cite"/>
    <w:unhideWhenUsed/>
    <w:rsid w:val="0004170B"/>
    <w:rPr>
      <w:rFonts w:cs="Times New Roman"/>
      <w:i/>
      <w:iCs/>
    </w:rPr>
  </w:style>
  <w:style w:type="character" w:styleId="HTMLCode">
    <w:name w:val="HTML Code"/>
    <w:unhideWhenUsed/>
    <w:rsid w:val="0004170B"/>
    <w:rPr>
      <w:rFonts w:ascii="Courier New" w:hAnsi="Courier New" w:cs="Courier New"/>
      <w:sz w:val="20"/>
      <w:szCs w:val="20"/>
    </w:rPr>
  </w:style>
  <w:style w:type="character" w:styleId="HTMLDefinition">
    <w:name w:val="HTML Definition"/>
    <w:unhideWhenUsed/>
    <w:rsid w:val="0004170B"/>
    <w:rPr>
      <w:rFonts w:cs="Times New Roman"/>
      <w:i/>
      <w:iCs/>
    </w:rPr>
  </w:style>
  <w:style w:type="character" w:styleId="HTMLKeyboard">
    <w:name w:val="HTML Keyboard"/>
    <w:unhideWhenUsed/>
    <w:rsid w:val="0004170B"/>
    <w:rPr>
      <w:rFonts w:ascii="Courier New" w:hAnsi="Courier New" w:cs="Courier New"/>
      <w:sz w:val="20"/>
      <w:szCs w:val="20"/>
    </w:rPr>
  </w:style>
  <w:style w:type="character" w:styleId="HTMLSample">
    <w:name w:val="HTML Sample"/>
    <w:unhideWhenUsed/>
    <w:rsid w:val="0004170B"/>
    <w:rPr>
      <w:rFonts w:ascii="Courier New" w:hAnsi="Courier New" w:cs="Courier New"/>
    </w:rPr>
  </w:style>
  <w:style w:type="character" w:styleId="HTMLTypewriter">
    <w:name w:val="HTML Typewriter"/>
    <w:unhideWhenUsed/>
    <w:rsid w:val="0004170B"/>
    <w:rPr>
      <w:rFonts w:ascii="Courier New" w:hAnsi="Courier New" w:cs="Courier New"/>
      <w:sz w:val="20"/>
      <w:szCs w:val="20"/>
    </w:rPr>
  </w:style>
  <w:style w:type="character" w:styleId="HTMLVariable">
    <w:name w:val="HTML Variable"/>
    <w:unhideWhenUsed/>
    <w:rsid w:val="0004170B"/>
    <w:rPr>
      <w:rFonts w:cs="Times New Roman"/>
      <w:i/>
      <w:iCs/>
    </w:rPr>
  </w:style>
  <w:style w:type="character" w:styleId="LineNumber">
    <w:name w:val="line number"/>
    <w:rsid w:val="0004170B"/>
    <w:rPr>
      <w:rFonts w:cs="Times New Roman"/>
    </w:rPr>
  </w:style>
  <w:style w:type="paragraph" w:styleId="List">
    <w:name w:val="List"/>
    <w:basedOn w:val="Normal"/>
    <w:rsid w:val="00DF5B8D"/>
    <w:pPr>
      <w:keepNext/>
      <w:keepLines/>
      <w:tabs>
        <w:tab w:val="left" w:pos="576"/>
      </w:tabs>
      <w:spacing w:after="120" w:line="240" w:lineRule="auto"/>
    </w:pPr>
    <w:rPr>
      <w:szCs w:val="24"/>
    </w:rPr>
  </w:style>
  <w:style w:type="paragraph" w:styleId="List2">
    <w:name w:val="List 2"/>
    <w:basedOn w:val="Normal"/>
    <w:rsid w:val="0062149A"/>
    <w:pPr>
      <w:numPr>
        <w:numId w:val="9"/>
      </w:numPr>
      <w:spacing w:after="360" w:line="240" w:lineRule="auto"/>
      <w:ind w:left="1152" w:hanging="576"/>
      <w:contextualSpacing/>
    </w:pPr>
    <w:rPr>
      <w:szCs w:val="24"/>
    </w:rPr>
  </w:style>
  <w:style w:type="paragraph" w:styleId="List3">
    <w:name w:val="List 3"/>
    <w:aliases w:val="ac17,ad19,ag21"/>
    <w:basedOn w:val="Normal"/>
    <w:rsid w:val="00EB03E2"/>
    <w:pPr>
      <w:keepNext/>
      <w:keepLines/>
      <w:tabs>
        <w:tab w:val="left" w:pos="1440"/>
      </w:tabs>
      <w:spacing w:after="120"/>
    </w:pPr>
  </w:style>
  <w:style w:type="paragraph" w:styleId="List4">
    <w:name w:val="List 4"/>
    <w:basedOn w:val="Normal"/>
    <w:unhideWhenUsed/>
    <w:rsid w:val="000D0DB8"/>
    <w:pPr>
      <w:keepNext/>
      <w:contextualSpacing/>
    </w:pPr>
  </w:style>
  <w:style w:type="paragraph" w:styleId="List5">
    <w:name w:val="List 5"/>
    <w:basedOn w:val="Normal"/>
    <w:unhideWhenUsed/>
    <w:rsid w:val="008E2B40"/>
    <w:pPr>
      <w:ind w:left="1800" w:hanging="360"/>
    </w:pPr>
  </w:style>
  <w:style w:type="paragraph" w:styleId="ListBullet2">
    <w:name w:val="List Bullet 2"/>
    <w:basedOn w:val="Normal"/>
    <w:rsid w:val="00A62DD9"/>
    <w:pPr>
      <w:numPr>
        <w:numId w:val="15"/>
      </w:numPr>
      <w:ind w:left="1080"/>
      <w:contextualSpacing/>
    </w:pPr>
  </w:style>
  <w:style w:type="paragraph" w:styleId="ListBullet3">
    <w:name w:val="List Bullet 3"/>
    <w:basedOn w:val="ListBullet"/>
    <w:unhideWhenUsed/>
    <w:rsid w:val="003623A2"/>
    <w:pPr>
      <w:numPr>
        <w:numId w:val="43"/>
      </w:numPr>
      <w:tabs>
        <w:tab w:val="left" w:pos="1080"/>
      </w:tabs>
      <w:ind w:left="1080"/>
    </w:pPr>
  </w:style>
  <w:style w:type="paragraph" w:styleId="ListBullet4">
    <w:name w:val="List Bullet 4"/>
    <w:basedOn w:val="Normal"/>
    <w:unhideWhenUsed/>
    <w:rsid w:val="000D0DB8"/>
    <w:pPr>
      <w:spacing w:line="240" w:lineRule="auto"/>
    </w:pPr>
    <w:rPr>
      <w:rFonts w:ascii="Arial" w:hAnsi="Arial"/>
    </w:rPr>
  </w:style>
  <w:style w:type="paragraph" w:styleId="ListBullet5">
    <w:name w:val="List Bullet 5"/>
    <w:basedOn w:val="Normal"/>
    <w:unhideWhenUsed/>
    <w:rsid w:val="000D0DB8"/>
    <w:pPr>
      <w:spacing w:line="240" w:lineRule="auto"/>
    </w:pPr>
    <w:rPr>
      <w:rFonts w:ascii="Arial" w:hAnsi="Arial"/>
    </w:rPr>
  </w:style>
  <w:style w:type="paragraph" w:styleId="ListContinue">
    <w:name w:val="List Continue"/>
    <w:basedOn w:val="Normal"/>
    <w:unhideWhenUsed/>
    <w:rsid w:val="000D0DB8"/>
    <w:pPr>
      <w:spacing w:after="120"/>
      <w:ind w:left="360"/>
    </w:pPr>
  </w:style>
  <w:style w:type="paragraph" w:styleId="ListContinue2">
    <w:name w:val="List Continue 2"/>
    <w:basedOn w:val="Normal"/>
    <w:unhideWhenUsed/>
    <w:rsid w:val="000D0DB8"/>
    <w:pPr>
      <w:spacing w:after="120" w:line="240" w:lineRule="auto"/>
      <w:ind w:left="720"/>
    </w:pPr>
    <w:rPr>
      <w:rFonts w:ascii="Arial" w:hAnsi="Arial"/>
    </w:rPr>
  </w:style>
  <w:style w:type="paragraph" w:styleId="ListContinue3">
    <w:name w:val="List Continue 3"/>
    <w:basedOn w:val="Normal"/>
    <w:unhideWhenUsed/>
    <w:rsid w:val="000D0DB8"/>
    <w:pPr>
      <w:spacing w:after="120" w:line="240" w:lineRule="auto"/>
      <w:ind w:left="1080"/>
    </w:pPr>
    <w:rPr>
      <w:rFonts w:ascii="Arial" w:hAnsi="Arial"/>
    </w:rPr>
  </w:style>
  <w:style w:type="paragraph" w:styleId="ListContinue4">
    <w:name w:val="List Continue 4"/>
    <w:basedOn w:val="Normal"/>
    <w:unhideWhenUsed/>
    <w:rsid w:val="000D0DB8"/>
    <w:pPr>
      <w:spacing w:after="120" w:line="240" w:lineRule="auto"/>
      <w:ind w:left="1440"/>
    </w:pPr>
    <w:rPr>
      <w:rFonts w:ascii="Arial" w:hAnsi="Arial"/>
    </w:rPr>
  </w:style>
  <w:style w:type="paragraph" w:styleId="ListContinue5">
    <w:name w:val="List Continue 5"/>
    <w:basedOn w:val="Normal"/>
    <w:unhideWhenUsed/>
    <w:rsid w:val="000D0DB8"/>
    <w:pPr>
      <w:spacing w:after="120" w:line="240" w:lineRule="auto"/>
      <w:ind w:left="1800"/>
    </w:pPr>
    <w:rPr>
      <w:rFonts w:ascii="Arial" w:hAnsi="Arial"/>
    </w:rPr>
  </w:style>
  <w:style w:type="paragraph" w:styleId="ListNumber3">
    <w:name w:val="List Number 3"/>
    <w:aliases w:val="ad_sub"/>
    <w:basedOn w:val="ListNumber5"/>
    <w:rsid w:val="000D0DB8"/>
    <w:pPr>
      <w:numPr>
        <w:numId w:val="12"/>
      </w:numPr>
    </w:pPr>
  </w:style>
  <w:style w:type="paragraph" w:customStyle="1" w:styleId="Indented">
    <w:name w:val="Indented"/>
    <w:basedOn w:val="Normal"/>
    <w:qFormat/>
    <w:rsid w:val="00473B38"/>
    <w:pPr>
      <w:ind w:left="1440"/>
    </w:pPr>
    <w:rPr>
      <w:szCs w:val="22"/>
    </w:rPr>
  </w:style>
  <w:style w:type="paragraph" w:styleId="ListNumber4">
    <w:name w:val="List Number 4"/>
    <w:aliases w:val="ac9,ad10,ae2,ag10,ah11"/>
    <w:basedOn w:val="Normal"/>
    <w:qFormat/>
    <w:rsid w:val="000D0DB8"/>
    <w:pPr>
      <w:keepNext/>
      <w:keepLines/>
      <w:numPr>
        <w:numId w:val="13"/>
      </w:numPr>
      <w:spacing w:before="360" w:after="120" w:line="240" w:lineRule="auto"/>
    </w:pPr>
  </w:style>
  <w:style w:type="paragraph" w:styleId="ListNumber5">
    <w:name w:val="List Number 5"/>
    <w:basedOn w:val="Normal"/>
    <w:rsid w:val="000D0DB8"/>
    <w:pPr>
      <w:spacing w:after="120" w:line="240" w:lineRule="auto"/>
      <w:ind w:left="864" w:hanging="288"/>
    </w:p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NormalIndent">
    <w:name w:val="Normal Indent"/>
    <w:basedOn w:val="Normal"/>
    <w:rsid w:val="0004170B"/>
    <w:pPr>
      <w:spacing w:line="240" w:lineRule="auto"/>
      <w:ind w:left="720"/>
    </w:pPr>
    <w:rPr>
      <w:rFonts w:ascii="Arial" w:hAnsi="Arial"/>
    </w:rPr>
  </w:style>
  <w:style w:type="paragraph" w:styleId="NoteHeading">
    <w:name w:val="Note Heading"/>
    <w:basedOn w:val="Normal"/>
    <w:next w:val="Normal"/>
    <w:link w:val="NoteHeadingChar"/>
    <w:rsid w:val="0004170B"/>
    <w:pPr>
      <w:spacing w:line="240" w:lineRule="auto"/>
    </w:pPr>
    <w:rPr>
      <w:rFonts w:ascii="Arial" w:hAnsi="Arial"/>
      <w:lang w:val="x-none" w:eastAsia="x-none"/>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alutation">
    <w:name w:val="Salutation"/>
    <w:basedOn w:val="Normal"/>
    <w:next w:val="Normal"/>
    <w:link w:val="SalutationChar"/>
    <w:rsid w:val="0004170B"/>
    <w:pPr>
      <w:spacing w:line="240" w:lineRule="auto"/>
    </w:pPr>
    <w:rPr>
      <w:rFonts w:ascii="Arial" w:hAnsi="Arial"/>
      <w:lang w:val="x-none" w:eastAsia="x-none"/>
    </w:rPr>
  </w:style>
  <w:style w:type="character" w:customStyle="1" w:styleId="SalutationChar">
    <w:name w:val="Salutation Char"/>
    <w:link w:val="Salutation"/>
    <w:locked/>
    <w:rsid w:val="0004170B"/>
    <w:rPr>
      <w:rFonts w:ascii="Arial" w:hAnsi="Arial" w:cs="Times New Roman"/>
    </w:rPr>
  </w:style>
  <w:style w:type="paragraph" w:styleId="Signature">
    <w:name w:val="Signature"/>
    <w:basedOn w:val="Normal"/>
    <w:link w:val="SignatureChar"/>
    <w:rsid w:val="0004170B"/>
    <w:pPr>
      <w:spacing w:line="240" w:lineRule="auto"/>
      <w:ind w:left="4320"/>
    </w:pPr>
    <w:rPr>
      <w:rFonts w:ascii="Arial" w:hAnsi="Arial"/>
      <w:lang w:val="x-none" w:eastAsia="x-none"/>
    </w:rPr>
  </w:style>
  <w:style w:type="character" w:customStyle="1" w:styleId="SignatureChar">
    <w:name w:val="Signature Char"/>
    <w:link w:val="Signature"/>
    <w:locked/>
    <w:rsid w:val="0004170B"/>
    <w:rPr>
      <w:rFonts w:ascii="Arial" w:hAnsi="Arial" w:cs="Times New Roman"/>
    </w:rPr>
  </w:style>
  <w:style w:type="character" w:styleId="Strong">
    <w:name w:val="Strong"/>
    <w:qFormat/>
    <w:rsid w:val="0004170B"/>
    <w:rPr>
      <w:rFonts w:cs="Times New Roman"/>
      <w:b/>
      <w:bCs/>
    </w:rPr>
  </w:style>
  <w:style w:type="paragraph" w:styleId="Subtitle">
    <w:name w:val="Subtitle"/>
    <w:basedOn w:val="Normal"/>
    <w:link w:val="SubtitleChar"/>
    <w:qFormat/>
    <w:rsid w:val="00871B10"/>
    <w:pPr>
      <w:spacing w:after="480" w:line="240" w:lineRule="auto"/>
      <w:jc w:val="center"/>
    </w:pPr>
    <w:rPr>
      <w:rFonts w:ascii="Arial" w:hAnsi="Arial"/>
      <w:b/>
      <w:bCs/>
      <w:sz w:val="52"/>
      <w:szCs w:val="52"/>
      <w:lang w:val="x-none" w:eastAsia="x-none"/>
    </w:rPr>
  </w:style>
  <w:style w:type="character" w:customStyle="1" w:styleId="SubtitleChar">
    <w:name w:val="Subtitle Char"/>
    <w:link w:val="Subtitle"/>
    <w:locked/>
    <w:rsid w:val="00871B10"/>
    <w:rPr>
      <w:rFonts w:ascii="Arial" w:hAnsi="Arial"/>
      <w:b/>
      <w:bCs/>
      <w:sz w:val="52"/>
      <w:szCs w:val="52"/>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rmHead1">
    <w:name w:val="FormHead1"/>
    <w:basedOn w:val="Heading1"/>
    <w:qFormat/>
    <w:rsid w:val="0004170B"/>
    <w:pPr>
      <w:spacing w:before="480" w:after="240" w:line="280" w:lineRule="atLeast"/>
      <w:jc w:val="left"/>
    </w:pPr>
    <w:rPr>
      <w:rFonts w:ascii="Arial" w:hAnsi="Arial" w:cs="Arial"/>
      <w:caps/>
      <w:sz w:val="22"/>
      <w:u w:val="none"/>
    </w:rPr>
  </w:style>
  <w:style w:type="paragraph" w:customStyle="1" w:styleId="Question">
    <w:name w:val="Question"/>
    <w:basedOn w:val="Question2"/>
    <w:qFormat/>
    <w:rsid w:val="0004170B"/>
    <w:pPr>
      <w:keepNext/>
    </w:pPr>
    <w:rPr>
      <w:b/>
    </w:rPr>
  </w:style>
  <w:style w:type="paragraph" w:customStyle="1" w:styleId="BodyText2">
    <w:name w:val="BodyText2"/>
    <w:basedOn w:val="BodyText"/>
    <w:qFormat/>
    <w:rsid w:val="0004170B"/>
    <w:pPr>
      <w:tabs>
        <w:tab w:val="left" w:pos="1080"/>
      </w:tabs>
      <w:spacing w:before="240" w:line="240" w:lineRule="auto"/>
    </w:pPr>
    <w:rPr>
      <w:rFonts w:ascii="Arial" w:hAnsi="Arial" w:cs="Arial"/>
    </w:rPr>
  </w:style>
  <w:style w:type="paragraph" w:customStyle="1" w:styleId="Question2">
    <w:name w:val="Question2"/>
    <w:basedOn w:val="Normal"/>
    <w:qFormat/>
    <w:rsid w:val="0004170B"/>
    <w:pPr>
      <w:tabs>
        <w:tab w:val="left" w:pos="2160"/>
        <w:tab w:val="left" w:pos="3600"/>
        <w:tab w:val="right" w:pos="8147"/>
      </w:tabs>
      <w:spacing w:before="240" w:after="120" w:line="240" w:lineRule="auto"/>
      <w:ind w:left="432" w:hanging="432"/>
    </w:pPr>
    <w:rPr>
      <w:rFonts w:ascii="Arial" w:hAnsi="Arial" w:cs="Arial"/>
    </w:rPr>
  </w:style>
  <w:style w:type="character" w:styleId="UnresolvedMention">
    <w:name w:val="Unresolved Mention"/>
    <w:uiPriority w:val="99"/>
    <w:semiHidden/>
    <w:unhideWhenUsed/>
    <w:rsid w:val="007143A1"/>
    <w:rPr>
      <w:color w:val="605E5C"/>
      <w:shd w:val="clear" w:color="auto" w:fill="E1DFDD"/>
    </w:rPr>
  </w:style>
  <w:style w:type="paragraph" w:customStyle="1" w:styleId="Question3">
    <w:name w:val="Question3"/>
    <w:basedOn w:val="Normal"/>
    <w:qFormat/>
    <w:rsid w:val="0004170B"/>
    <w:pPr>
      <w:tabs>
        <w:tab w:val="left" w:pos="2340"/>
      </w:tabs>
      <w:spacing w:before="120" w:after="120" w:line="240" w:lineRule="auto"/>
      <w:ind w:left="763" w:hanging="360"/>
    </w:pPr>
    <w:rPr>
      <w:rFonts w:ascii="Arial" w:hAnsi="Arial" w:cs="Arial"/>
    </w:rPr>
  </w:style>
  <w:style w:type="paragraph" w:customStyle="1" w:styleId="bodytext30">
    <w:name w:val="bodytext3"/>
    <w:basedOn w:val="Normal"/>
    <w:qFormat/>
    <w:rsid w:val="0004170B"/>
    <w:pPr>
      <w:spacing w:before="360" w:line="240" w:lineRule="auto"/>
      <w:jc w:val="center"/>
    </w:pPr>
    <w:rPr>
      <w:rFonts w:ascii="Arial" w:hAnsi="Arial" w:cs="Arial"/>
      <w:b/>
    </w:rPr>
  </w:style>
  <w:style w:type="paragraph" w:customStyle="1" w:styleId="bodytextindent0">
    <w:name w:val="bodytext_indent"/>
    <w:basedOn w:val="BodyText2"/>
    <w:qFormat/>
    <w:rsid w:val="0004170B"/>
    <w:pPr>
      <w:tabs>
        <w:tab w:val="clear" w:pos="1080"/>
      </w:tabs>
      <w:ind w:left="446"/>
    </w:pPr>
  </w:style>
  <w:style w:type="paragraph" w:customStyle="1" w:styleId="AppendixTitle">
    <w:name w:val="Appendix Title"/>
    <w:basedOn w:val="Heading1"/>
    <w:qFormat/>
    <w:rsid w:val="00A617FE"/>
    <w:pPr>
      <w:spacing w:line="320" w:lineRule="atLeast"/>
    </w:pPr>
    <w:rPr>
      <w:rFonts w:ascii="Arial" w:hAnsi="Arial"/>
      <w:lang w:val="en-US" w:eastAsia="en-US"/>
    </w:rPr>
  </w:style>
  <w:style w:type="paragraph" w:customStyle="1" w:styleId="bodytext4">
    <w:name w:val="bodytext4"/>
    <w:basedOn w:val="BodyText2"/>
    <w:qFormat/>
    <w:rsid w:val="0004170B"/>
    <w:rPr>
      <w:b/>
    </w:rPr>
  </w:style>
  <w:style w:type="paragraph" w:customStyle="1" w:styleId="AppHeading2">
    <w:name w:val="AppHeading2"/>
    <w:basedOn w:val="Normal"/>
    <w:rsid w:val="00A617FE"/>
    <w:pPr>
      <w:keepNext/>
      <w:spacing w:before="360" w:line="240" w:lineRule="auto"/>
      <w:outlineLvl w:val="1"/>
    </w:pPr>
    <w:rPr>
      <w:rFonts w:ascii="Arial" w:hAnsi="Arial" w:cs="Arial"/>
      <w:b/>
      <w:bCs/>
      <w:iCs/>
      <w:caps/>
      <w:smallCaps/>
      <w:szCs w:val="28"/>
    </w:rPr>
  </w:style>
  <w:style w:type="character" w:customStyle="1" w:styleId="SingleSpace">
    <w:name w:val="Single Space"/>
    <w:rsid w:val="002C37E8"/>
  </w:style>
  <w:style w:type="paragraph" w:customStyle="1" w:styleId="AppAHeading3">
    <w:name w:val="AppAHeading3"/>
    <w:basedOn w:val="Heading3"/>
    <w:qFormat/>
    <w:rsid w:val="00677F8E"/>
    <w:pPr>
      <w:numPr>
        <w:numId w:val="36"/>
      </w:numPr>
      <w:spacing w:before="240"/>
      <w:ind w:left="806" w:hanging="446"/>
      <w:outlineLvl w:val="4"/>
    </w:pPr>
    <w:rPr>
      <w:rFonts w:cs="Arial"/>
      <w:bCs w:val="0"/>
      <w:sz w:val="24"/>
      <w:szCs w:val="20"/>
      <w:lang w:val="en-US" w:eastAsia="en-US"/>
    </w:rPr>
  </w:style>
  <w:style w:type="paragraph" w:customStyle="1" w:styleId="AppHeading1">
    <w:name w:val="AppHeading1"/>
    <w:basedOn w:val="Heading1"/>
    <w:qFormat/>
    <w:rsid w:val="00A617FE"/>
    <w:pPr>
      <w:spacing w:before="0"/>
      <w:contextualSpacing/>
      <w:outlineLvl w:val="2"/>
    </w:pPr>
    <w:rPr>
      <w:rFonts w:ascii="Times New Roman" w:hAnsi="Times New Roman"/>
      <w:sz w:val="28"/>
      <w:szCs w:val="28"/>
      <w:u w:val="none"/>
      <w:lang w:val="en-US" w:eastAsia="en-US"/>
    </w:rPr>
  </w:style>
  <w:style w:type="paragraph" w:customStyle="1" w:styleId="AppHeading3">
    <w:name w:val="AppHeading3"/>
    <w:basedOn w:val="Heading3"/>
    <w:qFormat/>
    <w:rsid w:val="009C6AEF"/>
    <w:pPr>
      <w:spacing w:before="0" w:line="320" w:lineRule="atLeast"/>
      <w:outlineLvl w:val="3"/>
    </w:pPr>
    <w:rPr>
      <w:sz w:val="24"/>
      <w:szCs w:val="26"/>
      <w:lang w:val="en-US" w:eastAsia="en-US"/>
    </w:rPr>
  </w:style>
  <w:style w:type="paragraph" w:customStyle="1" w:styleId="AppAHeading2">
    <w:name w:val="AppAHeading2"/>
    <w:basedOn w:val="Normal"/>
    <w:qFormat/>
    <w:rsid w:val="00AE6FCF"/>
    <w:pPr>
      <w:keepNext/>
      <w:spacing w:line="240" w:lineRule="auto"/>
      <w:ind w:left="446" w:hanging="446"/>
      <w:outlineLvl w:val="3"/>
    </w:pPr>
    <w:rPr>
      <w:rFonts w:ascii="Arial" w:hAnsi="Arial" w:cs="Arial"/>
      <w:b/>
      <w:bCs/>
      <w:iCs/>
      <w:caps/>
      <w:smallCaps/>
      <w:szCs w:val="28"/>
    </w:rPr>
  </w:style>
  <w:style w:type="paragraph" w:customStyle="1" w:styleId="AppAHeading4">
    <w:name w:val="AppAHeading4"/>
    <w:basedOn w:val="AppAHeading3"/>
    <w:qFormat/>
    <w:rsid w:val="00677F8E"/>
    <w:pPr>
      <w:numPr>
        <w:numId w:val="0"/>
      </w:numPr>
      <w:spacing w:before="0" w:line="320" w:lineRule="atLeast"/>
      <w:ind w:left="547" w:hanging="547"/>
      <w:outlineLvl w:val="5"/>
    </w:pPr>
    <w:rPr>
      <w:rFonts w:eastAsia="Calibri"/>
      <w:i/>
      <w:sz w:val="22"/>
    </w:rPr>
  </w:style>
  <w:style w:type="paragraph" w:styleId="ListNumber">
    <w:name w:val="List Number"/>
    <w:basedOn w:val="Normal"/>
    <w:uiPriority w:val="99"/>
    <w:rsid w:val="00061D9C"/>
    <w:pPr>
      <w:numPr>
        <w:numId w:val="10"/>
      </w:numPr>
      <w:contextualSpacing/>
    </w:pPr>
  </w:style>
  <w:style w:type="paragraph" w:styleId="BodyText20">
    <w:name w:val="Body Text 2"/>
    <w:basedOn w:val="Normal"/>
    <w:link w:val="BodyText2Char"/>
    <w:rsid w:val="00B677A5"/>
    <w:pPr>
      <w:spacing w:line="240" w:lineRule="auto"/>
    </w:pPr>
    <w:rPr>
      <w:rFonts w:ascii="Arial" w:hAnsi="Arial"/>
      <w:lang w:val="x-none" w:eastAsia="x-none"/>
    </w:rPr>
  </w:style>
  <w:style w:type="character" w:customStyle="1" w:styleId="BodyText2Char">
    <w:name w:val="Body Text 2 Char"/>
    <w:link w:val="BodyText20"/>
    <w:locked/>
    <w:rsid w:val="00B677A5"/>
    <w:rPr>
      <w:rFonts w:ascii="Arial" w:hAnsi="Arial" w:cs="Times New Roman"/>
      <w:sz w:val="24"/>
    </w:rPr>
  </w:style>
  <w:style w:type="paragraph" w:customStyle="1" w:styleId="Quick1">
    <w:name w:val="Quick 1."/>
    <w:basedOn w:val="Normal"/>
    <w:semiHidden/>
    <w:rsid w:val="00B677A5"/>
    <w:pPr>
      <w:widowControl w:val="0"/>
      <w:tabs>
        <w:tab w:val="num" w:pos="1080"/>
      </w:tabs>
      <w:spacing w:line="240" w:lineRule="auto"/>
      <w:ind w:left="720" w:hanging="720"/>
    </w:pPr>
    <w:rPr>
      <w:rFonts w:ascii="Wingdings" w:hAnsi="Wingdings"/>
    </w:rPr>
  </w:style>
  <w:style w:type="paragraph" w:styleId="BodyTextIndent3">
    <w:name w:val="Body Text Indent 3"/>
    <w:basedOn w:val="Normal"/>
    <w:link w:val="BodyTextIndent3Char"/>
    <w:rsid w:val="00B677A5"/>
    <w:pPr>
      <w:widowControl w:val="0"/>
      <w:tabs>
        <w:tab w:val="left" w:pos="1170"/>
      </w:tabs>
      <w:spacing w:line="240" w:lineRule="auto"/>
      <w:ind w:left="1152" w:hanging="1152"/>
    </w:pPr>
    <w:rPr>
      <w:snapToGrid w:val="0"/>
      <w:lang w:val="x-none" w:eastAsia="x-none"/>
    </w:rPr>
  </w:style>
  <w:style w:type="character" w:customStyle="1" w:styleId="BodyTextIndent3Char">
    <w:name w:val="Body Text Indent 3 Char"/>
    <w:link w:val="BodyTextIndent3"/>
    <w:locked/>
    <w:rsid w:val="00B677A5"/>
    <w:rPr>
      <w:rFonts w:cs="Times New Roman"/>
      <w:snapToGrid w:val="0"/>
      <w:sz w:val="24"/>
    </w:rPr>
  </w:style>
  <w:style w:type="paragraph" w:customStyle="1" w:styleId="BodyText1">
    <w:name w:val="Body Text1"/>
    <w:aliases w:val="bt,body tx,indent,flush,body text"/>
    <w:basedOn w:val="Normal"/>
    <w:link w:val="bodytextChar0"/>
    <w:rsid w:val="00B677A5"/>
    <w:pPr>
      <w:spacing w:line="360" w:lineRule="atLeast"/>
      <w:ind w:firstLine="720"/>
    </w:pPr>
    <w:rPr>
      <w:lang w:val="x-none" w:eastAsia="x-none"/>
    </w:rPr>
  </w:style>
  <w:style w:type="character" w:customStyle="1" w:styleId="bodytextChar0">
    <w:name w:val="body text Char"/>
    <w:link w:val="BodyText1"/>
    <w:locked/>
    <w:rsid w:val="00B677A5"/>
    <w:rPr>
      <w:rFonts w:cs="Times New Roman"/>
      <w:sz w:val="24"/>
    </w:rPr>
  </w:style>
  <w:style w:type="paragraph" w:customStyle="1" w:styleId="Appendix">
    <w:name w:val="Appendix"/>
    <w:basedOn w:val="Normal"/>
    <w:rsid w:val="00A617FE"/>
    <w:pPr>
      <w:spacing w:before="720" w:line="240" w:lineRule="atLeast"/>
      <w:outlineLvl w:val="0"/>
    </w:pPr>
    <w:rPr>
      <w:rFonts w:ascii="Arial Black" w:hAnsi="Arial Black"/>
      <w:kern w:val="28"/>
      <w:sz w:val="48"/>
    </w:rPr>
  </w:style>
  <w:style w:type="numbering" w:styleId="ArticleSection">
    <w:name w:val="Outline List 3"/>
    <w:basedOn w:val="NoList"/>
    <w:rsid w:val="00DF4C46"/>
    <w:pPr>
      <w:numPr>
        <w:numId w:val="2"/>
      </w:numPr>
    </w:pPr>
  </w:style>
  <w:style w:type="paragraph" w:customStyle="1" w:styleId="AppendixHeading1">
    <w:name w:val="AppendixHeading1"/>
    <w:basedOn w:val="Heading1"/>
    <w:qFormat/>
    <w:rsid w:val="00A617FE"/>
    <w:rPr>
      <w:lang w:val="en-US" w:eastAsia="en-US"/>
    </w:rPr>
  </w:style>
  <w:style w:type="paragraph" w:customStyle="1" w:styleId="AppendixHeadingTOC">
    <w:name w:val="AppendixHeadingTOC"/>
    <w:basedOn w:val="AppendixHeading1"/>
    <w:qFormat/>
    <w:rsid w:val="00A617FE"/>
    <w:pPr>
      <w:outlineLvl w:val="1"/>
    </w:pPr>
  </w:style>
  <w:style w:type="paragraph" w:customStyle="1" w:styleId="AppBJKLTableCaption">
    <w:name w:val="AppBJKLTableCaption"/>
    <w:basedOn w:val="Caption"/>
    <w:qFormat/>
    <w:rsid w:val="00F04443"/>
    <w:pPr>
      <w:keepNext/>
      <w:shd w:val="clear" w:color="auto" w:fill="DDDDDD"/>
      <w:spacing w:after="120" w:line="240" w:lineRule="auto"/>
    </w:pPr>
    <w:rPr>
      <w:rFonts w:ascii="Arial" w:hAnsi="Arial"/>
      <w:sz w:val="22"/>
      <w:szCs w:val="22"/>
    </w:rPr>
  </w:style>
  <w:style w:type="paragraph" w:customStyle="1" w:styleId="BodyTextAppA">
    <w:name w:val="Body Text AppA"/>
    <w:basedOn w:val="BodyText"/>
    <w:qFormat/>
    <w:rsid w:val="00EE200B"/>
    <w:pPr>
      <w:spacing w:line="280" w:lineRule="atLeast"/>
    </w:pPr>
    <w:rPr>
      <w:rFonts w:cs="Arial"/>
      <w:szCs w:val="22"/>
    </w:rPr>
  </w:style>
  <w:style w:type="paragraph" w:customStyle="1" w:styleId="Answer1">
    <w:name w:val="Answer1"/>
    <w:basedOn w:val="Normal"/>
    <w:qFormat/>
    <w:rsid w:val="00C41250"/>
    <w:pPr>
      <w:tabs>
        <w:tab w:val="right" w:pos="8147"/>
      </w:tabs>
      <w:spacing w:after="120" w:line="240" w:lineRule="auto"/>
      <w:ind w:left="907" w:hanging="475"/>
    </w:pPr>
    <w:rPr>
      <w:rFonts w:ascii="Arial" w:hAnsi="Arial" w:cs="Arial"/>
    </w:rPr>
  </w:style>
  <w:style w:type="paragraph" w:customStyle="1" w:styleId="UnnumberedQuestion">
    <w:name w:val="Unnumbered Question"/>
    <w:basedOn w:val="ListNumber4"/>
    <w:qFormat/>
    <w:rsid w:val="00C41250"/>
    <w:pPr>
      <w:numPr>
        <w:numId w:val="0"/>
      </w:numPr>
      <w:spacing w:before="0" w:after="240" w:line="320" w:lineRule="exact"/>
      <w:ind w:left="1440" w:hanging="1440"/>
      <w:contextualSpacing/>
    </w:pPr>
    <w:rPr>
      <w:lang w:val="es-MX"/>
    </w:rPr>
  </w:style>
  <w:style w:type="paragraph" w:customStyle="1" w:styleId="headtitle">
    <w:name w:val="head_title"/>
    <w:basedOn w:val="Normal"/>
    <w:locked/>
    <w:rsid w:val="00145007"/>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lang w:val="x-none" w:eastAsia="x-none"/>
    </w:rPr>
  </w:style>
  <w:style w:type="character" w:customStyle="1" w:styleId="TextChar1">
    <w:name w:val="Text Char1"/>
    <w:link w:val="Text"/>
    <w:rsid w:val="00145007"/>
    <w:rPr>
      <w:rFonts w:eastAsia="MS Mincho"/>
      <w:sz w:val="24"/>
    </w:rPr>
  </w:style>
  <w:style w:type="paragraph" w:styleId="ListParagraph">
    <w:name w:val="List Paragraph"/>
    <w:basedOn w:val="Normal"/>
    <w:uiPriority w:val="34"/>
    <w:qFormat/>
    <w:rsid w:val="00D14937"/>
    <w:pPr>
      <w:numPr>
        <w:numId w:val="14"/>
      </w:numPr>
    </w:pPr>
    <w:rPr>
      <w:rFonts w:eastAsia="Calibri"/>
      <w:szCs w:val="24"/>
    </w:rPr>
  </w:style>
  <w:style w:type="paragraph" w:customStyle="1" w:styleId="Listlevel2">
    <w:name w:val="List level 2"/>
    <w:basedOn w:val="Normal"/>
    <w:rsid w:val="00145007"/>
    <w:pPr>
      <w:spacing w:before="40" w:after="20" w:line="240" w:lineRule="auto"/>
      <w:ind w:left="850" w:hanging="425"/>
    </w:pPr>
    <w:rPr>
      <w:rFonts w:eastAsia="MS Mincho"/>
    </w:rPr>
  </w:style>
  <w:style w:type="paragraph" w:customStyle="1" w:styleId="bullet1">
    <w:name w:val="bullet 1"/>
    <w:basedOn w:val="Normal"/>
    <w:rsid w:val="00145007"/>
    <w:pPr>
      <w:numPr>
        <w:numId w:val="3"/>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4"/>
      </w:numPr>
      <w:tabs>
        <w:tab w:val="clear" w:pos="720"/>
      </w:tabs>
    </w:pPr>
  </w:style>
  <w:style w:type="paragraph" w:customStyle="1" w:styleId="FigureTitle">
    <w:name w:val="Figure Title"/>
    <w:basedOn w:val="Normal"/>
    <w:rsid w:val="00145007"/>
    <w:pPr>
      <w:keepNext/>
      <w:numPr>
        <w:numId w:val="5"/>
      </w:numPr>
      <w:spacing w:before="320" w:after="120" w:line="320" w:lineRule="exact"/>
      <w:jc w:val="center"/>
    </w:pPr>
    <w:rPr>
      <w:rFonts w:ascii="Arial" w:hAnsi="Arial"/>
      <w:b/>
      <w:sz w:val="22"/>
      <w:szCs w:val="22"/>
    </w:rPr>
  </w:style>
  <w:style w:type="paragraph" w:customStyle="1" w:styleId="paragraph">
    <w:name w:val="paragraph"/>
    <w:basedOn w:val="Normal"/>
    <w:link w:val="paragraphChar"/>
    <w:rsid w:val="00145007"/>
    <w:pPr>
      <w:spacing w:before="240" w:line="320" w:lineRule="exact"/>
      <w:jc w:val="both"/>
    </w:pPr>
    <w:rPr>
      <w:rFonts w:ascii="Arial" w:hAnsi="Arial"/>
      <w:szCs w:val="24"/>
      <w:lang w:val="en-GB" w:eastAsia="x-none"/>
    </w:rPr>
  </w:style>
  <w:style w:type="paragraph" w:customStyle="1" w:styleId="tabfignote">
    <w:name w:val="tab/fig note"/>
    <w:basedOn w:val="Normal"/>
    <w:rsid w:val="00145007"/>
    <w:pPr>
      <w:keepLines/>
      <w:spacing w:before="60" w:line="288" w:lineRule="auto"/>
    </w:pPr>
    <w:rPr>
      <w:rFonts w:ascii="Arial" w:hAnsi="Arial"/>
    </w:rPr>
  </w:style>
  <w:style w:type="paragraph" w:customStyle="1" w:styleId="Tableheadings">
    <w:name w:val="Table headings"/>
    <w:basedOn w:val="Normal"/>
    <w:link w:val="TableheadingsChar"/>
    <w:rsid w:val="00145007"/>
    <w:pPr>
      <w:keepNext/>
      <w:spacing w:before="40" w:after="40" w:line="320" w:lineRule="exact"/>
    </w:pPr>
    <w:rPr>
      <w:rFonts w:ascii="Arial" w:hAnsi="Arial"/>
      <w:b/>
      <w:sz w:val="22"/>
      <w:lang w:val="x-none" w:eastAsia="x-none"/>
    </w:rPr>
  </w:style>
  <w:style w:type="paragraph" w:customStyle="1" w:styleId="Tabletext0">
    <w:name w:val="Table text"/>
    <w:basedOn w:val="Normal"/>
    <w:link w:val="TabletextChar"/>
    <w:rsid w:val="00871B10"/>
    <w:pPr>
      <w:spacing w:line="320" w:lineRule="exact"/>
    </w:pPr>
    <w:rPr>
      <w:szCs w:val="24"/>
      <w:lang w:eastAsia="x-none"/>
    </w:rPr>
  </w:style>
  <w:style w:type="paragraph" w:customStyle="1" w:styleId="TableTitle">
    <w:name w:val="Table Title"/>
    <w:basedOn w:val="Normal"/>
    <w:rsid w:val="00145007"/>
    <w:pPr>
      <w:keepNext/>
      <w:numPr>
        <w:numId w:val="6"/>
      </w:numPr>
      <w:spacing w:before="320" w:after="120" w:line="320" w:lineRule="exact"/>
    </w:pPr>
    <w:rPr>
      <w:rFonts w:ascii="Arial" w:hAnsi="Arial"/>
      <w:b/>
      <w:sz w:val="22"/>
      <w:szCs w:val="22"/>
    </w:rPr>
  </w:style>
  <w:style w:type="paragraph" w:customStyle="1" w:styleId="TopicBoxesLine">
    <w:name w:val="Topic Boxes Line"/>
    <w:basedOn w:val="BodyText"/>
    <w:qFormat/>
    <w:rsid w:val="00C41250"/>
    <w:pPr>
      <w:spacing w:line="240" w:lineRule="auto"/>
      <w:jc w:val="center"/>
    </w:pPr>
  </w:style>
  <w:style w:type="paragraph" w:customStyle="1" w:styleId="clientadd">
    <w:name w:val="clientadd"/>
    <w:basedOn w:val="Normal"/>
    <w:rsid w:val="00145007"/>
    <w:pPr>
      <w:spacing w:line="300" w:lineRule="exact"/>
    </w:pPr>
    <w:rPr>
      <w:rFonts w:ascii="Arial" w:hAnsi="Arial"/>
    </w:rPr>
  </w:style>
  <w:style w:type="paragraph" w:customStyle="1" w:styleId="ReportTitle">
    <w:name w:val="Report Title"/>
    <w:basedOn w:val="Normal"/>
    <w:rsid w:val="00145007"/>
    <w:pPr>
      <w:spacing w:line="480" w:lineRule="exact"/>
    </w:pPr>
    <w:rPr>
      <w:rFonts w:ascii="Arial Black" w:hAnsi="Arial Black"/>
      <w:sz w:val="48"/>
    </w:rPr>
  </w:style>
  <w:style w:type="paragraph" w:customStyle="1" w:styleId="Listenabsatz">
    <w:name w:val="Listenabsatz"/>
    <w:basedOn w:val="Normal"/>
    <w:qFormat/>
    <w:rsid w:val="00145007"/>
    <w:pPr>
      <w:spacing w:before="120" w:after="120" w:line="360" w:lineRule="auto"/>
      <w:ind w:left="720"/>
      <w:contextualSpacing/>
      <w:jc w:val="both"/>
    </w:pPr>
    <w:rPr>
      <w:rFonts w:ascii="Arial" w:eastAsia="Calibri" w:hAnsi="Arial"/>
      <w:szCs w:val="22"/>
      <w:lang w:val="de-DE"/>
    </w:rPr>
  </w:style>
  <w:style w:type="character" w:customStyle="1" w:styleId="TabletextChar">
    <w:name w:val="Table text Char"/>
    <w:link w:val="Tabletext0"/>
    <w:rsid w:val="00871B10"/>
    <w:rPr>
      <w:sz w:val="24"/>
      <w:szCs w:val="24"/>
      <w:lang w:eastAsia="x-none"/>
    </w:rPr>
  </w:style>
  <w:style w:type="numbering" w:styleId="111111">
    <w:name w:val="Outline List 2"/>
    <w:basedOn w:val="NoList"/>
    <w:locked/>
    <w:rsid w:val="00C41250"/>
    <w:pPr>
      <w:numPr>
        <w:numId w:val="20"/>
      </w:numPr>
    </w:p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145007"/>
    <w:pPr>
      <w:keepNext/>
      <w:spacing w:before="240" w:line="240" w:lineRule="auto"/>
      <w:ind w:left="562" w:right="562"/>
      <w:jc w:val="both"/>
    </w:pPr>
    <w:rPr>
      <w:i/>
      <w:iCs/>
      <w:szCs w:val="24"/>
      <w:lang w:val="en-GB" w:eastAsia="x-none"/>
    </w:rPr>
  </w:style>
  <w:style w:type="character" w:customStyle="1" w:styleId="paraquoteChar">
    <w:name w:val="para quote Char"/>
    <w:link w:val="paraquote"/>
    <w:rsid w:val="00145007"/>
    <w:rPr>
      <w:i/>
      <w:iCs/>
      <w:sz w:val="24"/>
      <w:szCs w:val="24"/>
      <w:lang w:val="en-GB"/>
    </w:rPr>
  </w:style>
  <w:style w:type="paragraph" w:customStyle="1" w:styleId="paraquotespeaker">
    <w:name w:val="para quote speaker"/>
    <w:basedOn w:val="Normal"/>
    <w:rsid w:val="00145007"/>
    <w:pPr>
      <w:spacing w:before="120" w:line="240" w:lineRule="auto"/>
      <w:jc w:val="right"/>
    </w:pPr>
    <w:rPr>
      <w:b/>
      <w:bCs/>
      <w:szCs w:val="24"/>
      <w:lang w:val="en-GB"/>
    </w:rPr>
  </w:style>
  <w:style w:type="paragraph" w:customStyle="1" w:styleId="tableheadital">
    <w:name w:val="table head ital"/>
    <w:basedOn w:val="Tableheadings"/>
    <w:rsid w:val="00145007"/>
    <w:rPr>
      <w:i/>
    </w:rPr>
  </w:style>
  <w:style w:type="character" w:customStyle="1" w:styleId="TableheadingsChar">
    <w:name w:val="Table headings Char"/>
    <w:link w:val="Tableheadings"/>
    <w:rsid w:val="00145007"/>
    <w:rPr>
      <w:rFonts w:ascii="Arial" w:hAnsi="Arial"/>
      <w:b/>
      <w:sz w:val="22"/>
    </w:rPr>
  </w:style>
  <w:style w:type="paragraph" w:customStyle="1" w:styleId="TOC1Apps">
    <w:name w:val="TOC 1 Apps"/>
    <w:basedOn w:val="TOC1"/>
    <w:qFormat/>
    <w:rsid w:val="0097284A"/>
    <w:pPr>
      <w:spacing w:after="60"/>
      <w:ind w:left="1584" w:right="0" w:hanging="1584"/>
    </w:pPr>
  </w:style>
  <w:style w:type="paragraph" w:customStyle="1" w:styleId="tableappAhead66">
    <w:name w:val="table app A head 6 6"/>
    <w:basedOn w:val="Normal"/>
    <w:rsid w:val="00145007"/>
    <w:pPr>
      <w:spacing w:before="120" w:after="120" w:line="240" w:lineRule="auto"/>
    </w:pPr>
    <w:rPr>
      <w:rFonts w:ascii="Arial" w:eastAsia="MS Mincho" w:hAnsi="Arial"/>
      <w:sz w:val="22"/>
    </w:rPr>
  </w:style>
  <w:style w:type="paragraph" w:customStyle="1" w:styleId="tableappAbody62">
    <w:name w:val="table app A body 6 2"/>
    <w:basedOn w:val="tableappAhead66"/>
    <w:rsid w:val="00145007"/>
    <w:pPr>
      <w:spacing w:after="40"/>
    </w:pPr>
    <w:rPr>
      <w:lang w:val="en-GB"/>
    </w:rPr>
  </w:style>
  <w:style w:type="paragraph" w:customStyle="1" w:styleId="tablehanging">
    <w:name w:val="table hanging"/>
    <w:basedOn w:val="Normal"/>
    <w:rsid w:val="00145007"/>
    <w:pPr>
      <w:tabs>
        <w:tab w:val="left" w:pos="360"/>
      </w:tabs>
      <w:spacing w:before="120" w:after="40" w:line="240" w:lineRule="auto"/>
      <w:ind w:left="360" w:hanging="360"/>
    </w:pPr>
    <w:rPr>
      <w:rFonts w:ascii="Arial" w:hAnsi="Arial"/>
      <w:sz w:val="22"/>
      <w:szCs w:val="24"/>
    </w:rPr>
  </w:style>
  <w:style w:type="paragraph" w:customStyle="1" w:styleId="paraslidebox">
    <w:name w:val="para slide box"/>
    <w:basedOn w:val="Normal"/>
    <w:rsid w:val="00145007"/>
    <w:pPr>
      <w:pBdr>
        <w:top w:val="single" w:sz="4" w:space="1" w:color="auto"/>
        <w:left w:val="single" w:sz="4" w:space="4" w:color="auto"/>
        <w:bottom w:val="single" w:sz="4" w:space="1" w:color="auto"/>
        <w:right w:val="single" w:sz="4" w:space="4" w:color="auto"/>
      </w:pBdr>
      <w:spacing w:before="240" w:line="240" w:lineRule="auto"/>
      <w:ind w:left="936" w:right="936"/>
      <w:jc w:val="center"/>
    </w:pPr>
    <w:rPr>
      <w:szCs w:val="24"/>
    </w:rPr>
  </w:style>
  <w:style w:type="character" w:customStyle="1" w:styleId="paragraphChar">
    <w:name w:val="paragraph Char"/>
    <w:link w:val="paragraph"/>
    <w:rsid w:val="00145007"/>
    <w:rPr>
      <w:rFonts w:ascii="Arial" w:hAnsi="Arial" w:cs="Arial"/>
      <w:sz w:val="24"/>
      <w:szCs w:val="24"/>
      <w:lang w:val="en-GB"/>
    </w:rPr>
  </w:style>
  <w:style w:type="numbering" w:styleId="1ai">
    <w:name w:val="Outline List 1"/>
    <w:basedOn w:val="NoList"/>
    <w:locked/>
    <w:rsid w:val="00C41250"/>
    <w:pPr>
      <w:numPr>
        <w:numId w:val="21"/>
      </w:numPr>
    </w:pPr>
  </w:style>
  <w:style w:type="paragraph" w:customStyle="1" w:styleId="AppHHeading1">
    <w:name w:val="AppH Heading 1"/>
    <w:basedOn w:val="Normal"/>
    <w:qFormat/>
    <w:rsid w:val="00C41250"/>
    <w:pPr>
      <w:keepNext/>
      <w:keepLines/>
    </w:pPr>
    <w:rPr>
      <w:b/>
      <w:bCs/>
      <w:szCs w:val="24"/>
    </w:rPr>
  </w:style>
  <w:style w:type="paragraph" w:customStyle="1" w:styleId="Footer2">
    <w:name w:val="Footer2"/>
    <w:basedOn w:val="Normal"/>
    <w:locked/>
    <w:rsid w:val="00C41250"/>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E05CEC"/>
    <w:pPr>
      <w:spacing w:before="120" w:line="240" w:lineRule="auto"/>
    </w:pPr>
  </w:style>
  <w:style w:type="paragraph" w:customStyle="1" w:styleId="Tablebullet1">
    <w:name w:val="Table bullet 1"/>
    <w:basedOn w:val="Normal"/>
    <w:rsid w:val="00146260"/>
    <w:pPr>
      <w:numPr>
        <w:numId w:val="7"/>
      </w:numPr>
      <w:tabs>
        <w:tab w:val="clear" w:pos="1080"/>
      </w:tabs>
      <w:spacing w:line="240" w:lineRule="auto"/>
      <w:ind w:left="606" w:hanging="270"/>
    </w:pPr>
    <w:rPr>
      <w:rFonts w:ascii="Arial" w:hAnsi="Arial"/>
      <w:szCs w:val="24"/>
    </w:rPr>
  </w:style>
  <w:style w:type="paragraph" w:customStyle="1" w:styleId="Appbullet1">
    <w:name w:val="App bullet 1"/>
    <w:basedOn w:val="Normal"/>
    <w:rsid w:val="00C41250"/>
    <w:pPr>
      <w:numPr>
        <w:numId w:val="22"/>
      </w:numPr>
      <w:spacing w:line="240" w:lineRule="auto"/>
    </w:pPr>
    <w:rPr>
      <w:szCs w:val="24"/>
    </w:rPr>
  </w:style>
  <w:style w:type="paragraph" w:customStyle="1" w:styleId="Graphic">
    <w:name w:val="Graphic"/>
    <w:basedOn w:val="Normal"/>
    <w:qFormat/>
    <w:rsid w:val="007B35AC"/>
    <w:pPr>
      <w:keepNext/>
      <w:jc w:val="center"/>
    </w:pPr>
  </w:style>
  <w:style w:type="paragraph" w:customStyle="1" w:styleId="Heading42">
    <w:name w:val="Heading 42"/>
    <w:basedOn w:val="Normal"/>
    <w:rsid w:val="00C41250"/>
    <w:pPr>
      <w:spacing w:before="240" w:line="240" w:lineRule="auto"/>
      <w:jc w:val="both"/>
    </w:pPr>
    <w:rPr>
      <w:rFonts w:ascii="Arial" w:hAnsi="Arial"/>
      <w:b/>
      <w:iCs/>
      <w:szCs w:val="24"/>
      <w:lang w:val="en-GB"/>
    </w:rPr>
  </w:style>
  <w:style w:type="character" w:customStyle="1" w:styleId="journalname">
    <w:name w:val="journalname"/>
    <w:basedOn w:val="DefaultParagraphFont"/>
    <w:rsid w:val="00145007"/>
  </w:style>
  <w:style w:type="paragraph" w:customStyle="1" w:styleId="Apphead1">
    <w:name w:val="App head 1"/>
    <w:rsid w:val="00C41250"/>
    <w:pPr>
      <w:spacing w:before="360"/>
    </w:pPr>
    <w:rPr>
      <w:rFonts w:ascii="Arial" w:hAnsi="Arial"/>
      <w:b/>
      <w:caps/>
      <w:kern w:val="28"/>
      <w:sz w:val="30"/>
      <w:lang w:eastAsia="en-US"/>
    </w:rPr>
  </w:style>
  <w:style w:type="paragraph" w:customStyle="1" w:styleId="BodyTextIndent1">
    <w:name w:val="Body Text Indent1"/>
    <w:basedOn w:val="Normal"/>
    <w:rsid w:val="00E8787E"/>
    <w:pPr>
      <w:keepNext/>
      <w:keepLines/>
      <w:spacing w:after="180" w:line="240" w:lineRule="auto"/>
      <w:ind w:left="547"/>
    </w:pPr>
    <w:rPr>
      <w:szCs w:val="22"/>
    </w:rPr>
  </w:style>
  <w:style w:type="paragraph" w:customStyle="1" w:styleId="appques">
    <w:name w:val="app ques"/>
    <w:basedOn w:val="Normal"/>
    <w:link w:val="appquesChar"/>
    <w:rsid w:val="00C41250"/>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2"/>
      <w:lang w:val="en-GB" w:eastAsia="x-none"/>
    </w:rPr>
  </w:style>
  <w:style w:type="paragraph" w:customStyle="1" w:styleId="Appnameheadings">
    <w:name w:val="App name headings"/>
    <w:basedOn w:val="Normal"/>
    <w:link w:val="AppnameheadingsChar"/>
    <w:rsid w:val="00C41250"/>
    <w:pPr>
      <w:keepNext/>
      <w:spacing w:before="240" w:line="240" w:lineRule="auto"/>
    </w:pPr>
    <w:rPr>
      <w:rFonts w:ascii="Arial" w:hAnsi="Arial"/>
      <w:b/>
      <w:lang w:val="x-none" w:eastAsia="x-none"/>
    </w:rPr>
  </w:style>
  <w:style w:type="character" w:customStyle="1" w:styleId="AppnameheadingsChar">
    <w:name w:val="App name headings Char"/>
    <w:link w:val="Appnameheadings"/>
    <w:rsid w:val="00C41250"/>
    <w:rPr>
      <w:rFonts w:ascii="Arial" w:hAnsi="Arial"/>
      <w:b/>
      <w:lang w:val="x-none" w:eastAsia="x-none"/>
    </w:rPr>
  </w:style>
  <w:style w:type="character" w:customStyle="1" w:styleId="appquesChar">
    <w:name w:val="app ques Char"/>
    <w:link w:val="appques"/>
    <w:rsid w:val="00C41250"/>
    <w:rPr>
      <w:rFonts w:ascii="Arial" w:hAnsi="Arial"/>
      <w:b/>
      <w:sz w:val="22"/>
      <w:shd w:val="clear" w:color="auto" w:fill="FFCC99"/>
      <w:lang w:val="en-GB" w:eastAsia="x-none"/>
    </w:rPr>
  </w:style>
  <w:style w:type="paragraph" w:customStyle="1" w:styleId="FMHeading1">
    <w:name w:val="FM Heading 1"/>
    <w:basedOn w:val="Normal"/>
    <w:qFormat/>
    <w:rsid w:val="00150E99"/>
    <w:pPr>
      <w:keepNext/>
      <w:spacing w:after="480" w:line="240" w:lineRule="auto"/>
      <w:contextualSpacing/>
      <w:jc w:val="center"/>
      <w:outlineLvl w:val="1"/>
    </w:pPr>
    <w:rPr>
      <w:b/>
      <w:bCs/>
      <w:color w:val="1F497D"/>
      <w:kern w:val="32"/>
      <w:szCs w:val="28"/>
    </w:rPr>
  </w:style>
  <w:style w:type="paragraph" w:styleId="TableofFigures">
    <w:name w:val="table of figures"/>
    <w:basedOn w:val="Normal"/>
    <w:next w:val="Normal"/>
    <w:uiPriority w:val="99"/>
    <w:locked/>
    <w:rsid w:val="0097284A"/>
    <w:pPr>
      <w:tabs>
        <w:tab w:val="right" w:pos="9350"/>
      </w:tabs>
      <w:spacing w:after="120" w:line="240" w:lineRule="auto"/>
      <w:ind w:left="720" w:right="576" w:hanging="720"/>
    </w:pPr>
    <w:rPr>
      <w:noProof/>
    </w:rPr>
  </w:style>
  <w:style w:type="paragraph" w:customStyle="1" w:styleId="ListNumbertext">
    <w:name w:val="List Number_text"/>
    <w:basedOn w:val="ListNumber"/>
    <w:qFormat/>
    <w:rsid w:val="001A4792"/>
    <w:pPr>
      <w:tabs>
        <w:tab w:val="left" w:pos="720"/>
      </w:tabs>
    </w:pPr>
  </w:style>
  <w:style w:type="paragraph" w:customStyle="1" w:styleId="ListParagraph2">
    <w:name w:val="List Paragraph 2"/>
    <w:basedOn w:val="ListParagraph"/>
    <w:qFormat/>
    <w:rsid w:val="00D14937"/>
    <w:pPr>
      <w:numPr>
        <w:numId w:val="16"/>
      </w:numPr>
      <w:ind w:left="1080"/>
    </w:pPr>
  </w:style>
  <w:style w:type="paragraph" w:customStyle="1" w:styleId="StyleLeft026Hanging043After36pt">
    <w:name w:val="Style Left:  0.26&quot; Hanging:  0.43&quot; After:  36 pt"/>
    <w:basedOn w:val="Normal"/>
    <w:rsid w:val="00C41250"/>
    <w:pPr>
      <w:spacing w:after="720" w:line="240" w:lineRule="auto"/>
      <w:ind w:left="979" w:hanging="619"/>
    </w:pPr>
  </w:style>
  <w:style w:type="paragraph" w:customStyle="1" w:styleId="F1F4FooterEven">
    <w:name w:val="_F1F4_Footer_Even"/>
    <w:next w:val="Normal"/>
    <w:rsid w:val="00C41250"/>
    <w:pPr>
      <w:framePr w:wrap="around" w:hAnchor="page" w:x="505" w:yAlign="inside"/>
      <w:shd w:val="solid" w:color="FFFFFF" w:fill="FFFFFF"/>
      <w:tabs>
        <w:tab w:val="center" w:pos="4608"/>
        <w:tab w:val="right" w:pos="9360"/>
      </w:tabs>
      <w:suppressOverlap/>
    </w:pPr>
    <w:rPr>
      <w:rFonts w:ascii="Verdana" w:hAnsi="Verdana"/>
      <w:b/>
      <w:lang w:eastAsia="en-US"/>
    </w:rPr>
  </w:style>
  <w:style w:type="paragraph" w:customStyle="1" w:styleId="F1F4HeaderOdd">
    <w:name w:val="_F1F4_Header_Odd"/>
    <w:basedOn w:val="Normal"/>
    <w:next w:val="Normal"/>
    <w:rsid w:val="00C41250"/>
    <w:pPr>
      <w:framePr w:hSpace="72" w:wrap="around" w:hAnchor="page" w:x="14905" w:y="1"/>
      <w:pBdr>
        <w:bottom w:val="single" w:sz="2" w:space="1" w:color="auto"/>
      </w:pBdr>
      <w:spacing w:line="240" w:lineRule="auto"/>
      <w:suppressOverlap/>
      <w:jc w:val="right"/>
    </w:pPr>
    <w:rPr>
      <w:i/>
      <w:sz w:val="18"/>
    </w:rPr>
  </w:style>
  <w:style w:type="paragraph" w:customStyle="1" w:styleId="blogsubhead">
    <w:name w:val="blogsubhead"/>
    <w:basedOn w:val="Normal"/>
    <w:rsid w:val="00C41250"/>
    <w:pPr>
      <w:spacing w:line="240" w:lineRule="auto"/>
    </w:pPr>
    <w:rPr>
      <w:szCs w:val="24"/>
    </w:rPr>
  </w:style>
  <w:style w:type="character" w:customStyle="1" w:styleId="blogpubmonth1">
    <w:name w:val="blogpubmonth1"/>
    <w:rsid w:val="00C41250"/>
    <w:rPr>
      <w:b/>
      <w:bCs/>
      <w:caps/>
      <w:vanish w:val="0"/>
      <w:webHidden w:val="0"/>
      <w:color w:val="FFFFFF"/>
      <w:sz w:val="15"/>
      <w:szCs w:val="15"/>
      <w:specVanish w:val="0"/>
    </w:rPr>
  </w:style>
  <w:style w:type="paragraph" w:customStyle="1" w:styleId="ExhibitTitle">
    <w:name w:val="Exhibit Title"/>
    <w:rsid w:val="00E87E9E"/>
    <w:pPr>
      <w:keepNext/>
      <w:keepLines/>
      <w:spacing w:before="160" w:after="60" w:line="260" w:lineRule="exact"/>
      <w:ind w:left="1440" w:hanging="1440"/>
    </w:pPr>
    <w:rPr>
      <w:rFonts w:ascii="Arial Black" w:hAnsi="Arial Black"/>
      <w:snapToGrid w:val="0"/>
      <w:color w:val="0A357E"/>
      <w:sz w:val="22"/>
      <w:lang w:eastAsia="en-US"/>
    </w:rPr>
  </w:style>
  <w:style w:type="paragraph" w:customStyle="1" w:styleId="exhibitsource">
    <w:name w:val="exhibit source"/>
    <w:basedOn w:val="Normal"/>
    <w:rsid w:val="00E87E9E"/>
    <w:pPr>
      <w:keepLines/>
      <w:spacing w:before="60" w:line="240" w:lineRule="auto"/>
      <w:ind w:left="187" w:hanging="187"/>
    </w:pPr>
    <w:rPr>
      <w:rFonts w:ascii="Arial" w:hAnsi="Arial"/>
    </w:rPr>
  </w:style>
  <w:style w:type="paragraph" w:customStyle="1" w:styleId="TableHeaders">
    <w:name w:val="Table Headers"/>
    <w:basedOn w:val="Normal"/>
    <w:qFormat/>
    <w:rsid w:val="00FD5732"/>
    <w:pPr>
      <w:keepNext/>
      <w:spacing w:before="40" w:after="40" w:line="240" w:lineRule="auto"/>
      <w:jc w:val="center"/>
    </w:pPr>
    <w:rPr>
      <w:b/>
      <w:snapToGrid w:val="0"/>
    </w:rPr>
  </w:style>
  <w:style w:type="paragraph" w:customStyle="1" w:styleId="Equation">
    <w:name w:val="Equation"/>
    <w:basedOn w:val="Normal"/>
    <w:qFormat/>
    <w:rsid w:val="00A578BA"/>
    <w:pPr>
      <w:jc w:val="center"/>
    </w:pPr>
  </w:style>
  <w:style w:type="paragraph" w:customStyle="1" w:styleId="tablebullet0">
    <w:name w:val="table bullet"/>
    <w:basedOn w:val="Text"/>
    <w:rsid w:val="00C43DED"/>
    <w:pPr>
      <w:numPr>
        <w:numId w:val="17"/>
      </w:numPr>
      <w:tabs>
        <w:tab w:val="clear" w:pos="360"/>
      </w:tabs>
      <w:spacing w:after="40"/>
      <w:ind w:left="720"/>
    </w:pPr>
    <w:rPr>
      <w:rFonts w:ascii="Arial" w:hAnsi="Arial"/>
      <w:sz w:val="22"/>
      <w:lang w:val="en-US" w:eastAsia="en-US"/>
    </w:rPr>
  </w:style>
  <w:style w:type="character" w:customStyle="1" w:styleId="blogpubdate1">
    <w:name w:val="blogpubdate1"/>
    <w:rsid w:val="00C41250"/>
    <w:rPr>
      <w:vanish w:val="0"/>
      <w:webHidden w:val="0"/>
      <w:sz w:val="18"/>
      <w:szCs w:val="18"/>
      <w:specVanish w:val="0"/>
    </w:rPr>
  </w:style>
  <w:style w:type="character" w:customStyle="1" w:styleId="blogauthor">
    <w:name w:val="blog_author"/>
    <w:rsid w:val="00C41250"/>
  </w:style>
  <w:style w:type="paragraph" w:customStyle="1" w:styleId="CharCharCharCharCharChar1">
    <w:name w:val="Char Char Char Char Char Char1"/>
    <w:basedOn w:val="Normal"/>
    <w:semiHidden/>
    <w:rsid w:val="00843B18"/>
    <w:pPr>
      <w:spacing w:before="80" w:after="80" w:line="240" w:lineRule="auto"/>
      <w:ind w:left="4320"/>
      <w:jc w:val="both"/>
    </w:pPr>
    <w:rPr>
      <w:rFonts w:ascii="Arial" w:hAnsi="Arial"/>
    </w:rPr>
  </w:style>
  <w:style w:type="paragraph" w:customStyle="1" w:styleId="ListNumber4S">
    <w:name w:val="List Number 4S"/>
    <w:basedOn w:val="ListNumber4"/>
    <w:qFormat/>
    <w:rsid w:val="00843B18"/>
    <w:pPr>
      <w:numPr>
        <w:numId w:val="0"/>
      </w:numPr>
      <w:spacing w:before="480"/>
    </w:pPr>
  </w:style>
  <w:style w:type="paragraph" w:customStyle="1" w:styleId="ListNumber6">
    <w:name w:val="List Number 6"/>
    <w:basedOn w:val="Normal"/>
    <w:rsid w:val="00843B18"/>
    <w:pPr>
      <w:keepNext/>
      <w:keepLines/>
      <w:numPr>
        <w:numId w:val="18"/>
      </w:numPr>
      <w:tabs>
        <w:tab w:val="left" w:pos="1440"/>
      </w:tabs>
      <w:spacing w:after="120"/>
    </w:pPr>
  </w:style>
  <w:style w:type="paragraph" w:customStyle="1" w:styleId="ListNumber7">
    <w:name w:val="List Number 7"/>
    <w:basedOn w:val="Normal"/>
    <w:rsid w:val="00843B18"/>
    <w:pPr>
      <w:tabs>
        <w:tab w:val="num" w:pos="576"/>
      </w:tabs>
      <w:ind w:left="576" w:hanging="576"/>
      <w:contextualSpacing/>
    </w:pPr>
  </w:style>
  <w:style w:type="paragraph" w:customStyle="1" w:styleId="ListBulletAppA">
    <w:name w:val="List Bullet AppA"/>
    <w:basedOn w:val="ListBullet"/>
    <w:qFormat/>
    <w:rsid w:val="0072072D"/>
    <w:pPr>
      <w:numPr>
        <w:numId w:val="0"/>
      </w:numPr>
      <w:spacing w:after="0" w:line="280" w:lineRule="atLeast"/>
      <w:ind w:left="720" w:hanging="360"/>
    </w:pPr>
    <w:rPr>
      <w:rFonts w:cs="Arial"/>
    </w:rPr>
  </w:style>
  <w:style w:type="character" w:customStyle="1" w:styleId="blogdate1">
    <w:name w:val="blogdate1"/>
    <w:rsid w:val="00C41250"/>
    <w:rPr>
      <w:color w:val="666666"/>
    </w:rPr>
  </w:style>
  <w:style w:type="paragraph" w:customStyle="1" w:styleId="appparaarial11">
    <w:name w:val="app para arial 11"/>
    <w:basedOn w:val="Tabletext0"/>
    <w:link w:val="appparaarial11CharChar"/>
    <w:rsid w:val="00C41250"/>
    <w:pPr>
      <w:spacing w:before="120" w:line="240" w:lineRule="auto"/>
    </w:pPr>
    <w:rPr>
      <w:rFonts w:ascii="Arial" w:hAnsi="Arial"/>
      <w:sz w:val="22"/>
      <w:szCs w:val="20"/>
      <w:lang w:val="en-GB" w:eastAsia="en-US"/>
    </w:rPr>
  </w:style>
  <w:style w:type="character" w:customStyle="1" w:styleId="appparaarial11CharChar">
    <w:name w:val="app para arial 11 Char Char"/>
    <w:link w:val="appparaarial11"/>
    <w:rsid w:val="00C41250"/>
    <w:rPr>
      <w:rFonts w:ascii="Arial" w:hAnsi="Arial"/>
      <w:sz w:val="22"/>
      <w:lang w:val="en-GB" w:eastAsia="en-US"/>
    </w:rPr>
  </w:style>
  <w:style w:type="paragraph" w:customStyle="1" w:styleId="CharCharCharCharCharChar11">
    <w:name w:val="Char Char Char Char Char Char11"/>
    <w:basedOn w:val="Normal"/>
    <w:semiHidden/>
    <w:rsid w:val="00C41250"/>
    <w:pPr>
      <w:spacing w:before="80" w:after="80" w:line="240" w:lineRule="auto"/>
      <w:ind w:left="4320"/>
      <w:jc w:val="both"/>
    </w:pPr>
    <w:rPr>
      <w:rFonts w:ascii="Arial" w:hAnsi="Arial"/>
    </w:rPr>
  </w:style>
  <w:style w:type="paragraph" w:customStyle="1" w:styleId="ac26">
    <w:name w:val="ac26"/>
    <w:basedOn w:val="List3"/>
    <w:qFormat/>
    <w:rsid w:val="00C41250"/>
    <w:pPr>
      <w:numPr>
        <w:numId w:val="23"/>
      </w:numPr>
      <w:ind w:left="1440" w:hanging="1440"/>
    </w:pPr>
  </w:style>
  <w:style w:type="paragraph" w:customStyle="1" w:styleId="abodytelephone">
    <w:name w:val="abody_telephone"/>
    <w:basedOn w:val="BodyTextIndent"/>
    <w:qFormat/>
    <w:rsid w:val="00C41250"/>
    <w:pPr>
      <w:keepLines/>
      <w:tabs>
        <w:tab w:val="clear" w:pos="576"/>
      </w:tabs>
      <w:spacing w:before="240" w:after="0"/>
      <w:ind w:left="1440" w:hanging="1440"/>
    </w:pPr>
    <w:rPr>
      <w:lang w:eastAsia="en-US"/>
    </w:rPr>
  </w:style>
  <w:style w:type="paragraph" w:customStyle="1" w:styleId="ae9">
    <w:name w:val="ae9"/>
    <w:basedOn w:val="ListNumber4"/>
    <w:qFormat/>
    <w:rsid w:val="00C41250"/>
    <w:pPr>
      <w:numPr>
        <w:numId w:val="24"/>
      </w:numPr>
      <w:spacing w:before="480"/>
    </w:pPr>
    <w:rPr>
      <w:rFonts w:ascii="SimSun" w:hAnsi="SimSun" w:cs="MS Mincho"/>
      <w:lang w:val="zh-CN" w:eastAsia="zh-CN"/>
    </w:rPr>
  </w:style>
  <w:style w:type="paragraph" w:customStyle="1" w:styleId="af10">
    <w:name w:val="af10"/>
    <w:basedOn w:val="ListNumber2"/>
    <w:qFormat/>
    <w:rsid w:val="00C41250"/>
    <w:pPr>
      <w:keepLines/>
      <w:numPr>
        <w:numId w:val="25"/>
      </w:numPr>
      <w:tabs>
        <w:tab w:val="clear" w:pos="576"/>
        <w:tab w:val="left" w:pos="630"/>
      </w:tabs>
      <w:ind w:left="540" w:hanging="540"/>
    </w:pPr>
    <w:rPr>
      <w:rFonts w:ascii="SimSun" w:hAnsi="SimSun"/>
    </w:rPr>
  </w:style>
  <w:style w:type="paragraph" w:customStyle="1" w:styleId="ListNumber3AppJ">
    <w:name w:val="List Number 3 AppJ"/>
    <w:basedOn w:val="ListNumber3"/>
    <w:qFormat/>
    <w:rsid w:val="0062149A"/>
    <w:pPr>
      <w:numPr>
        <w:numId w:val="0"/>
      </w:numPr>
      <w:spacing w:after="240" w:line="320" w:lineRule="atLeast"/>
      <w:ind w:left="1152" w:hanging="576"/>
      <w:contextualSpacing/>
    </w:pPr>
  </w:style>
  <w:style w:type="paragraph" w:customStyle="1" w:styleId="ListBulletApp">
    <w:name w:val="List Bullet App"/>
    <w:basedOn w:val="ListBullet"/>
    <w:qFormat/>
    <w:rsid w:val="00874022"/>
    <w:pPr>
      <w:numPr>
        <w:numId w:val="19"/>
      </w:numPr>
      <w:ind w:left="720"/>
    </w:pPr>
  </w:style>
  <w:style w:type="numbering" w:customStyle="1" w:styleId="Style1">
    <w:name w:val="Style1"/>
    <w:uiPriority w:val="99"/>
    <w:rsid w:val="00C41250"/>
    <w:pPr>
      <w:numPr>
        <w:numId w:val="26"/>
      </w:numPr>
    </w:pPr>
  </w:style>
  <w:style w:type="paragraph" w:customStyle="1" w:styleId="BodyTextAppABI">
    <w:name w:val="Body Text AppA BI"/>
    <w:basedOn w:val="Normal"/>
    <w:qFormat/>
    <w:rsid w:val="00EE5E44"/>
    <w:pPr>
      <w:spacing w:line="240" w:lineRule="auto"/>
    </w:pPr>
    <w:rPr>
      <w:rFonts w:ascii="Arial" w:hAnsi="Arial"/>
      <w:b/>
      <w:i/>
    </w:rPr>
  </w:style>
  <w:style w:type="paragraph" w:customStyle="1" w:styleId="0BlankPage">
    <w:name w:val="0_Blank Page"/>
    <w:basedOn w:val="Normal"/>
    <w:qFormat/>
    <w:rsid w:val="00871B10"/>
    <w:pPr>
      <w:spacing w:before="720"/>
      <w:jc w:val="center"/>
    </w:pPr>
    <w:rPr>
      <w:i/>
      <w:iCs/>
    </w:rPr>
  </w:style>
  <w:style w:type="paragraph" w:customStyle="1" w:styleId="ListAppJ">
    <w:name w:val="List App J"/>
    <w:basedOn w:val="List"/>
    <w:qFormat/>
    <w:rsid w:val="00C545E4"/>
    <w:pPr>
      <w:numPr>
        <w:numId w:val="8"/>
      </w:numPr>
      <w:ind w:left="576" w:hanging="576"/>
    </w:pPr>
    <w:rPr>
      <w:szCs w:val="20"/>
    </w:rPr>
  </w:style>
  <w:style w:type="character" w:styleId="Mention">
    <w:name w:val="Mention"/>
    <w:uiPriority w:val="99"/>
    <w:unhideWhenUsed/>
    <w:rsid w:val="00641C41"/>
    <w:rPr>
      <w:color w:val="2B579A"/>
      <w:shd w:val="clear" w:color="auto" w:fill="E6E6E6"/>
    </w:rPr>
  </w:style>
  <w:style w:type="paragraph" w:customStyle="1" w:styleId="ag30">
    <w:name w:val="ag30"/>
    <w:basedOn w:val="List3"/>
    <w:qFormat/>
    <w:rsid w:val="00C41250"/>
    <w:pPr>
      <w:tabs>
        <w:tab w:val="num" w:pos="576"/>
      </w:tabs>
      <w:ind w:left="1440" w:hanging="1440"/>
    </w:pPr>
  </w:style>
  <w:style w:type="paragraph" w:styleId="Bibliography">
    <w:name w:val="Bibliography"/>
    <w:basedOn w:val="Normal"/>
    <w:next w:val="Normal"/>
    <w:uiPriority w:val="37"/>
    <w:semiHidden/>
    <w:unhideWhenUsed/>
    <w:rsid w:val="009B7F90"/>
  </w:style>
  <w:style w:type="paragraph" w:styleId="BodyTextIndent2">
    <w:name w:val="Body Text Indent 2"/>
    <w:basedOn w:val="Normal"/>
    <w:link w:val="BodyTextIndent2Char"/>
    <w:locked/>
    <w:rsid w:val="009B7F90"/>
    <w:pPr>
      <w:spacing w:after="120" w:line="480" w:lineRule="auto"/>
      <w:ind w:left="360"/>
    </w:pPr>
  </w:style>
  <w:style w:type="character" w:customStyle="1" w:styleId="BodyTextIndent2Char">
    <w:name w:val="Body Text Indent 2 Char"/>
    <w:link w:val="BodyTextIndent2"/>
    <w:rsid w:val="009B7F90"/>
    <w:rPr>
      <w:sz w:val="24"/>
    </w:rPr>
  </w:style>
  <w:style w:type="paragraph" w:styleId="DocumentMap">
    <w:name w:val="Document Map"/>
    <w:basedOn w:val="Normal"/>
    <w:link w:val="DocumentMapChar"/>
    <w:locked/>
    <w:rsid w:val="009B7F90"/>
    <w:pPr>
      <w:spacing w:line="240" w:lineRule="auto"/>
    </w:pPr>
    <w:rPr>
      <w:rFonts w:ascii="Segoe UI" w:hAnsi="Segoe UI" w:cs="Segoe UI"/>
      <w:sz w:val="16"/>
      <w:szCs w:val="16"/>
    </w:rPr>
  </w:style>
  <w:style w:type="character" w:customStyle="1" w:styleId="DocumentMapChar">
    <w:name w:val="Document Map Char"/>
    <w:link w:val="DocumentMap"/>
    <w:rsid w:val="009B7F90"/>
    <w:rPr>
      <w:rFonts w:ascii="Segoe UI" w:hAnsi="Segoe UI" w:cs="Segoe UI"/>
      <w:sz w:val="16"/>
      <w:szCs w:val="16"/>
    </w:rPr>
  </w:style>
  <w:style w:type="paragraph" w:styleId="EndnoteText">
    <w:name w:val="endnote text"/>
    <w:basedOn w:val="Normal"/>
    <w:link w:val="EndnoteTextChar"/>
    <w:locked/>
    <w:rsid w:val="009B7F90"/>
    <w:pPr>
      <w:spacing w:line="240" w:lineRule="auto"/>
    </w:pPr>
  </w:style>
  <w:style w:type="character" w:customStyle="1" w:styleId="EndnoteTextChar">
    <w:name w:val="Endnote Text Char"/>
    <w:basedOn w:val="DefaultParagraphFont"/>
    <w:link w:val="EndnoteText"/>
    <w:rsid w:val="009B7F90"/>
  </w:style>
  <w:style w:type="paragraph" w:styleId="Index1">
    <w:name w:val="index 1"/>
    <w:basedOn w:val="Normal"/>
    <w:next w:val="Normal"/>
    <w:autoRedefine/>
    <w:locked/>
    <w:rsid w:val="009B7F90"/>
    <w:pPr>
      <w:spacing w:line="240" w:lineRule="auto"/>
      <w:ind w:left="240" w:hanging="240"/>
    </w:pPr>
  </w:style>
  <w:style w:type="paragraph" w:styleId="Index2">
    <w:name w:val="index 2"/>
    <w:basedOn w:val="Normal"/>
    <w:next w:val="Normal"/>
    <w:autoRedefine/>
    <w:locked/>
    <w:rsid w:val="009B7F90"/>
    <w:pPr>
      <w:spacing w:line="240" w:lineRule="auto"/>
      <w:ind w:left="480" w:hanging="240"/>
    </w:pPr>
  </w:style>
  <w:style w:type="paragraph" w:styleId="Index3">
    <w:name w:val="index 3"/>
    <w:basedOn w:val="Normal"/>
    <w:next w:val="Normal"/>
    <w:autoRedefine/>
    <w:locked/>
    <w:rsid w:val="009B7F90"/>
    <w:pPr>
      <w:spacing w:line="240" w:lineRule="auto"/>
      <w:ind w:left="720" w:hanging="240"/>
    </w:pPr>
  </w:style>
  <w:style w:type="paragraph" w:styleId="Index4">
    <w:name w:val="index 4"/>
    <w:basedOn w:val="Normal"/>
    <w:next w:val="Normal"/>
    <w:autoRedefine/>
    <w:locked/>
    <w:rsid w:val="009B7F90"/>
    <w:pPr>
      <w:spacing w:line="240" w:lineRule="auto"/>
      <w:ind w:left="960" w:hanging="240"/>
    </w:pPr>
  </w:style>
  <w:style w:type="paragraph" w:styleId="Index5">
    <w:name w:val="index 5"/>
    <w:basedOn w:val="Normal"/>
    <w:next w:val="Normal"/>
    <w:autoRedefine/>
    <w:locked/>
    <w:rsid w:val="009B7F90"/>
    <w:pPr>
      <w:spacing w:line="240" w:lineRule="auto"/>
      <w:ind w:left="1200" w:hanging="240"/>
    </w:pPr>
  </w:style>
  <w:style w:type="paragraph" w:styleId="Index6">
    <w:name w:val="index 6"/>
    <w:basedOn w:val="Normal"/>
    <w:next w:val="Normal"/>
    <w:autoRedefine/>
    <w:locked/>
    <w:rsid w:val="009B7F90"/>
    <w:pPr>
      <w:spacing w:line="240" w:lineRule="auto"/>
      <w:ind w:left="1440" w:hanging="240"/>
    </w:pPr>
  </w:style>
  <w:style w:type="paragraph" w:styleId="Index7">
    <w:name w:val="index 7"/>
    <w:basedOn w:val="Normal"/>
    <w:next w:val="Normal"/>
    <w:autoRedefine/>
    <w:locked/>
    <w:rsid w:val="009B7F90"/>
    <w:pPr>
      <w:spacing w:line="240" w:lineRule="auto"/>
      <w:ind w:left="1680" w:hanging="240"/>
    </w:pPr>
  </w:style>
  <w:style w:type="paragraph" w:styleId="Index8">
    <w:name w:val="index 8"/>
    <w:basedOn w:val="Normal"/>
    <w:next w:val="Normal"/>
    <w:autoRedefine/>
    <w:locked/>
    <w:rsid w:val="009B7F90"/>
    <w:pPr>
      <w:spacing w:line="240" w:lineRule="auto"/>
      <w:ind w:left="1920" w:hanging="240"/>
    </w:pPr>
  </w:style>
  <w:style w:type="paragraph" w:styleId="Index9">
    <w:name w:val="index 9"/>
    <w:basedOn w:val="Normal"/>
    <w:next w:val="Normal"/>
    <w:autoRedefine/>
    <w:locked/>
    <w:rsid w:val="009B7F90"/>
    <w:pPr>
      <w:spacing w:line="240" w:lineRule="auto"/>
      <w:ind w:left="2160" w:hanging="240"/>
    </w:pPr>
  </w:style>
  <w:style w:type="paragraph" w:styleId="IndexHeading">
    <w:name w:val="index heading"/>
    <w:basedOn w:val="Normal"/>
    <w:next w:val="Index1"/>
    <w:locked/>
    <w:rsid w:val="009B7F90"/>
    <w:rPr>
      <w:rFonts w:ascii="Calibri Light" w:eastAsia="Times New Roman" w:hAnsi="Calibri Light"/>
      <w:b/>
      <w:bCs/>
    </w:rPr>
  </w:style>
  <w:style w:type="paragraph" w:styleId="IntenseQuote">
    <w:name w:val="Intense Quote"/>
    <w:basedOn w:val="Normal"/>
    <w:next w:val="Normal"/>
    <w:link w:val="IntenseQuoteChar"/>
    <w:uiPriority w:val="30"/>
    <w:qFormat/>
    <w:rsid w:val="009B7F9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B7F90"/>
    <w:rPr>
      <w:i/>
      <w:iCs/>
      <w:color w:val="4472C4"/>
      <w:sz w:val="24"/>
    </w:rPr>
  </w:style>
  <w:style w:type="paragraph" w:styleId="MacroText">
    <w:name w:val="macro"/>
    <w:link w:val="MacroTextChar"/>
    <w:locked/>
    <w:rsid w:val="009B7F90"/>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nsolas" w:hAnsi="Consolas" w:cs="Consolas"/>
      <w:lang w:eastAsia="en-US"/>
    </w:rPr>
  </w:style>
  <w:style w:type="character" w:customStyle="1" w:styleId="MacroTextChar">
    <w:name w:val="Macro Text Char"/>
    <w:link w:val="MacroText"/>
    <w:rsid w:val="009B7F90"/>
    <w:rPr>
      <w:rFonts w:ascii="Consolas" w:hAnsi="Consolas" w:cs="Consolas"/>
    </w:rPr>
  </w:style>
  <w:style w:type="paragraph" w:styleId="NoSpacing">
    <w:name w:val="No Spacing"/>
    <w:uiPriority w:val="1"/>
    <w:qFormat/>
    <w:rsid w:val="009B7F90"/>
    <w:rPr>
      <w:sz w:val="24"/>
      <w:lang w:eastAsia="en-US"/>
    </w:rPr>
  </w:style>
  <w:style w:type="paragraph" w:styleId="Quote">
    <w:name w:val="Quote"/>
    <w:basedOn w:val="Normal"/>
    <w:next w:val="Normal"/>
    <w:link w:val="QuoteChar"/>
    <w:uiPriority w:val="29"/>
    <w:qFormat/>
    <w:rsid w:val="009B7F90"/>
    <w:pPr>
      <w:spacing w:before="200" w:after="160"/>
      <w:ind w:left="864" w:right="864"/>
      <w:jc w:val="center"/>
    </w:pPr>
    <w:rPr>
      <w:i/>
      <w:iCs/>
      <w:color w:val="404040"/>
    </w:rPr>
  </w:style>
  <w:style w:type="character" w:customStyle="1" w:styleId="QuoteChar">
    <w:name w:val="Quote Char"/>
    <w:link w:val="Quote"/>
    <w:uiPriority w:val="29"/>
    <w:rsid w:val="009B7F90"/>
    <w:rPr>
      <w:i/>
      <w:iCs/>
      <w:color w:val="404040"/>
      <w:sz w:val="24"/>
    </w:rPr>
  </w:style>
  <w:style w:type="paragraph" w:styleId="TableofAuthorities">
    <w:name w:val="table of authorities"/>
    <w:basedOn w:val="Normal"/>
    <w:next w:val="Normal"/>
    <w:locked/>
    <w:rsid w:val="009B7F90"/>
    <w:pPr>
      <w:ind w:left="240" w:hanging="240"/>
    </w:pPr>
  </w:style>
  <w:style w:type="paragraph" w:styleId="TOAHeading">
    <w:name w:val="toa heading"/>
    <w:basedOn w:val="Normal"/>
    <w:next w:val="Normal"/>
    <w:locked/>
    <w:rsid w:val="009B7F90"/>
    <w:pPr>
      <w:spacing w:before="120"/>
    </w:pPr>
    <w:rPr>
      <w:rFonts w:ascii="Calibri Light" w:eastAsia="Times New Roman" w:hAnsi="Calibri Light"/>
      <w:b/>
      <w:bCs/>
      <w:szCs w:val="24"/>
    </w:rPr>
  </w:style>
  <w:style w:type="paragraph" w:customStyle="1" w:styleId="ah35">
    <w:name w:val="ah35"/>
    <w:basedOn w:val="List3"/>
    <w:qFormat/>
    <w:rsid w:val="00C41250"/>
    <w:pPr>
      <w:ind w:left="1440" w:hanging="1440"/>
    </w:pPr>
    <w:rPr>
      <w:rFonts w:ascii="VNI-Times" w:hAnsi="VNI-Times"/>
      <w:lang w:val="vi-VN"/>
    </w:rPr>
  </w:style>
  <w:style w:type="paragraph" w:customStyle="1" w:styleId="ah24">
    <w:name w:val="ah24"/>
    <w:basedOn w:val="List3"/>
    <w:qFormat/>
    <w:rsid w:val="00C41250"/>
    <w:pPr>
      <w:numPr>
        <w:numId w:val="27"/>
      </w:numPr>
      <w:ind w:left="1440" w:hanging="1440"/>
    </w:pPr>
    <w:rPr>
      <w:rFonts w:ascii="VNI-Times" w:hAnsi="VNI-Times"/>
      <w:lang w:val="vi-VN"/>
    </w:rPr>
  </w:style>
  <w:style w:type="paragraph" w:customStyle="1" w:styleId="AppHeading2AppP">
    <w:name w:val="AppHeading2_AppP"/>
    <w:basedOn w:val="AppHeading2"/>
    <w:qFormat/>
    <w:rsid w:val="006621E9"/>
    <w:pPr>
      <w:numPr>
        <w:numId w:val="28"/>
      </w:numPr>
      <w:spacing w:before="0" w:line="320" w:lineRule="atLeast"/>
      <w:ind w:left="446" w:hanging="446"/>
      <w:outlineLvl w:val="3"/>
    </w:pPr>
    <w:rPr>
      <w:rFonts w:ascii="Arial Bold" w:hAnsi="Arial Bold"/>
      <w:smallCaps w:val="0"/>
    </w:rPr>
  </w:style>
  <w:style w:type="paragraph" w:customStyle="1" w:styleId="BodyTextScript">
    <w:name w:val="Body Text Script"/>
    <w:basedOn w:val="Normal"/>
    <w:qFormat/>
    <w:rsid w:val="00C41250"/>
    <w:pPr>
      <w:spacing w:line="276" w:lineRule="auto"/>
      <w:ind w:left="1440"/>
    </w:pPr>
    <w:rPr>
      <w:rFonts w:eastAsia="Calibri"/>
      <w:szCs w:val="24"/>
    </w:rPr>
  </w:style>
  <w:style w:type="paragraph" w:customStyle="1" w:styleId="ListNumber2Chinese">
    <w:name w:val="List Number 2 Chinese"/>
    <w:basedOn w:val="ListNumber2"/>
    <w:qFormat/>
    <w:rsid w:val="00BE292F"/>
    <w:pPr>
      <w:keepNext w:val="0"/>
      <w:keepLines/>
      <w:numPr>
        <w:numId w:val="0"/>
      </w:numPr>
      <w:spacing w:before="0"/>
      <w:ind w:left="864" w:hanging="288"/>
    </w:pPr>
    <w:rPr>
      <w:rFonts w:ascii="SimSun" w:hAnsi="SimSun"/>
      <w:szCs w:val="22"/>
    </w:rPr>
  </w:style>
  <w:style w:type="paragraph" w:customStyle="1" w:styleId="SylfaenText">
    <w:name w:val="Sylfaen Text"/>
    <w:basedOn w:val="Normal"/>
    <w:qFormat/>
    <w:rsid w:val="001063D7"/>
    <w:rPr>
      <w:rFonts w:ascii="Sylfaen" w:eastAsia="Times New Roman" w:hAnsi="Sylfaen" w:cs="Tahoma"/>
      <w:lang w:val="hy-AM"/>
    </w:rPr>
  </w:style>
  <w:style w:type="paragraph" w:customStyle="1" w:styleId="SylfaenSalutation">
    <w:name w:val="Sylfaen Salutation"/>
    <w:basedOn w:val="Normal"/>
    <w:qFormat/>
    <w:rsid w:val="001063D7"/>
    <w:rPr>
      <w:rFonts w:ascii="Sylfaen" w:eastAsia="Times New Roman" w:hAnsi="Sylfaen" w:cs="Tahoma"/>
      <w:lang w:val="hy-AM"/>
    </w:rPr>
  </w:style>
  <w:style w:type="paragraph" w:customStyle="1" w:styleId="SylfaenAddress">
    <w:name w:val="Sylfaen Address"/>
    <w:basedOn w:val="Normal"/>
    <w:qFormat/>
    <w:rsid w:val="001063D7"/>
    <w:pPr>
      <w:contextualSpacing/>
    </w:pPr>
    <w:rPr>
      <w:rFonts w:ascii="Sylfaen" w:eastAsia="Times New Roman" w:hAnsi="Sylfaen"/>
      <w:szCs w:val="24"/>
      <w:lang w:val="hy-AM"/>
    </w:rPr>
  </w:style>
  <w:style w:type="paragraph" w:customStyle="1" w:styleId="SylfaenClosing">
    <w:name w:val="Sylfaen Closing"/>
    <w:basedOn w:val="Normal"/>
    <w:qFormat/>
    <w:rsid w:val="001063D7"/>
    <w:pPr>
      <w:spacing w:after="720"/>
    </w:pPr>
    <w:rPr>
      <w:rFonts w:ascii="Sylfaen" w:eastAsia="Times New Roman" w:hAnsi="Sylfaen" w:cs="Tahoma"/>
      <w:lang w:val="hy-AM"/>
    </w:rPr>
  </w:style>
  <w:style w:type="paragraph" w:customStyle="1" w:styleId="SylfaenSignature">
    <w:name w:val="Sylfaen Signature"/>
    <w:basedOn w:val="Normal"/>
    <w:qFormat/>
    <w:rsid w:val="001063D7"/>
    <w:pPr>
      <w:contextualSpacing/>
    </w:pPr>
    <w:rPr>
      <w:rFonts w:ascii="Sylfaen" w:eastAsia="Times New Roman" w:hAnsi="Sylfaen" w:cs="Tahoma"/>
      <w:lang w:val="hy-AM"/>
    </w:rPr>
  </w:style>
  <w:style w:type="paragraph" w:customStyle="1" w:styleId="letter-head">
    <w:name w:val="letter-head"/>
    <w:basedOn w:val="Normal"/>
    <w:qFormat/>
    <w:rsid w:val="001063D7"/>
    <w:pPr>
      <w:jc w:val="center"/>
      <w:outlineLvl w:val="0"/>
    </w:pPr>
    <w:rPr>
      <w:rFonts w:eastAsia="Times New Roman"/>
      <w:b/>
      <w:bCs/>
      <w:szCs w:val="24"/>
      <w:lang w:val="hy-AM"/>
    </w:rPr>
  </w:style>
  <w:style w:type="paragraph" w:customStyle="1" w:styleId="SylfaenQuestion">
    <w:name w:val="Sylfaen Question"/>
    <w:basedOn w:val="ListNumber2"/>
    <w:qFormat/>
    <w:rsid w:val="001063D7"/>
    <w:pPr>
      <w:keepLines/>
      <w:numPr>
        <w:numId w:val="29"/>
      </w:numPr>
      <w:ind w:left="576" w:hanging="576"/>
    </w:pPr>
    <w:rPr>
      <w:rFonts w:ascii="Sylfaen" w:eastAsia="Times New Roman" w:hAnsi="Sylfaen" w:cs="Tahoma"/>
      <w:lang w:val="hy-AM"/>
    </w:rPr>
  </w:style>
  <w:style w:type="paragraph" w:customStyle="1" w:styleId="Sylfaenbullet">
    <w:name w:val="Sylfaen bullet"/>
    <w:basedOn w:val="ListBullet"/>
    <w:qFormat/>
    <w:rsid w:val="001063D7"/>
    <w:pPr>
      <w:numPr>
        <w:numId w:val="0"/>
      </w:numPr>
      <w:spacing w:after="180" w:line="240" w:lineRule="auto"/>
      <w:ind w:left="360" w:hanging="360"/>
    </w:pPr>
    <w:rPr>
      <w:rFonts w:ascii="Sylfaen" w:eastAsia="Times New Roman" w:hAnsi="Sylfaen" w:cs="Tahoma"/>
      <w:szCs w:val="20"/>
      <w:lang w:val="hy-AM"/>
    </w:rPr>
  </w:style>
  <w:style w:type="paragraph" w:customStyle="1" w:styleId="SylfaenResponse">
    <w:name w:val="Sylfaen Response"/>
    <w:basedOn w:val="Normal"/>
    <w:qFormat/>
    <w:rsid w:val="001063D7"/>
    <w:pPr>
      <w:numPr>
        <w:ilvl w:val="1"/>
        <w:numId w:val="29"/>
      </w:numPr>
      <w:tabs>
        <w:tab w:val="left" w:pos="720"/>
      </w:tabs>
      <w:spacing w:after="120" w:line="240" w:lineRule="auto"/>
      <w:ind w:left="1152"/>
    </w:pPr>
    <w:rPr>
      <w:rFonts w:ascii="Sylfaen" w:eastAsia="Times New Roman" w:hAnsi="Sylfaen" w:cs="Tahoma"/>
      <w:noProof/>
      <w:szCs w:val="22"/>
      <w:lang w:val="hy-AM"/>
    </w:rPr>
  </w:style>
  <w:style w:type="paragraph" w:customStyle="1" w:styleId="SylfaenResponseplain">
    <w:name w:val="Sylfaen Response plain"/>
    <w:basedOn w:val="Normal"/>
    <w:qFormat/>
    <w:rsid w:val="001063D7"/>
    <w:pPr>
      <w:tabs>
        <w:tab w:val="left" w:pos="720"/>
      </w:tabs>
      <w:spacing w:after="360"/>
      <w:ind w:left="1080" w:hanging="504"/>
      <w:contextualSpacing/>
    </w:pPr>
    <w:rPr>
      <w:rFonts w:ascii="Sylfaen" w:eastAsia="Times New Roman" w:hAnsi="Sylfaen" w:cs="Tahoma"/>
      <w:szCs w:val="22"/>
      <w:lang w:val="hy-AM"/>
    </w:rPr>
  </w:style>
  <w:style w:type="numbering" w:customStyle="1" w:styleId="ArmenianNumbering">
    <w:name w:val="ArmenianNumbering"/>
    <w:uiPriority w:val="99"/>
    <w:rsid w:val="001063D7"/>
    <w:pPr>
      <w:numPr>
        <w:numId w:val="30"/>
      </w:numPr>
    </w:pPr>
  </w:style>
  <w:style w:type="paragraph" w:customStyle="1" w:styleId="SylfaenResponsescannable">
    <w:name w:val="Sylfaen Response scannable"/>
    <w:basedOn w:val="Normal"/>
    <w:qFormat/>
    <w:rsid w:val="001063D7"/>
    <w:pPr>
      <w:tabs>
        <w:tab w:val="left" w:pos="720"/>
      </w:tabs>
      <w:spacing w:after="120" w:line="240" w:lineRule="auto"/>
      <w:ind w:left="864" w:hanging="288"/>
    </w:pPr>
    <w:rPr>
      <w:rFonts w:ascii="Sylfaen" w:eastAsia="Times New Roman" w:hAnsi="Sylfaen" w:cs="Tahoma"/>
      <w:szCs w:val="22"/>
      <w:lang w:val="hy-AM"/>
    </w:rPr>
  </w:style>
  <w:style w:type="paragraph" w:customStyle="1" w:styleId="OMBText">
    <w:name w:val="OMB Text"/>
    <w:basedOn w:val="Normal"/>
    <w:qFormat/>
    <w:rsid w:val="007A3822"/>
    <w:pPr>
      <w:pBdr>
        <w:top w:val="single" w:sz="4" w:space="1" w:color="auto"/>
        <w:left w:val="single" w:sz="4" w:space="4" w:color="auto"/>
        <w:bottom w:val="single" w:sz="4" w:space="1" w:color="auto"/>
        <w:right w:val="single" w:sz="4" w:space="4" w:color="auto"/>
      </w:pBdr>
    </w:pPr>
    <w:rPr>
      <w:rFonts w:eastAsia="Times New Roman"/>
    </w:rPr>
  </w:style>
  <w:style w:type="paragraph" w:customStyle="1" w:styleId="OMBBoxedSylfaen">
    <w:name w:val="OMB Boxed Sylfaen"/>
    <w:basedOn w:val="Normal"/>
    <w:qFormat/>
    <w:rsid w:val="00B94977"/>
    <w:pPr>
      <w:pBdr>
        <w:top w:val="single" w:sz="4" w:space="1" w:color="auto"/>
        <w:left w:val="single" w:sz="4" w:space="4" w:color="auto"/>
        <w:bottom w:val="single" w:sz="4" w:space="1" w:color="auto"/>
        <w:right w:val="single" w:sz="4" w:space="4" w:color="auto"/>
      </w:pBdr>
      <w:spacing w:line="360" w:lineRule="auto"/>
    </w:pPr>
    <w:rPr>
      <w:rFonts w:ascii="Sylfaen" w:eastAsia="Times New Roman" w:hAnsi="Sylfaen"/>
      <w:lang w:val="hy-AM"/>
    </w:rPr>
  </w:style>
  <w:style w:type="paragraph" w:customStyle="1" w:styleId="appendixheading1b">
    <w:name w:val="appendixheading1b"/>
    <w:basedOn w:val="AppendixHeading1"/>
    <w:qFormat/>
    <w:rsid w:val="00ED4474"/>
    <w:pPr>
      <w:spacing w:before="0"/>
      <w:outlineLvl w:val="2"/>
    </w:pPr>
  </w:style>
  <w:style w:type="paragraph" w:customStyle="1" w:styleId="AppHeading3K">
    <w:name w:val="AppHeading3_K"/>
    <w:basedOn w:val="Heading3"/>
    <w:qFormat/>
    <w:rsid w:val="009779F7"/>
    <w:pPr>
      <w:spacing w:before="0" w:line="320" w:lineRule="atLeast"/>
    </w:pPr>
    <w:rPr>
      <w:rFonts w:eastAsia="Times New Roman"/>
      <w:sz w:val="24"/>
      <w:szCs w:val="26"/>
      <w:lang w:val="en-US" w:eastAsia="en-US"/>
    </w:rPr>
  </w:style>
  <w:style w:type="paragraph" w:customStyle="1" w:styleId="BlankPage">
    <w:name w:val="Blank Page"/>
    <w:basedOn w:val="Normal"/>
    <w:qFormat/>
    <w:rsid w:val="000F2C67"/>
    <w:pPr>
      <w:pageBreakBefore/>
      <w:spacing w:before="2400" w:line="240" w:lineRule="atLeast"/>
      <w:jc w:val="center"/>
    </w:pPr>
    <w:rPr>
      <w:rFonts w:eastAsia="Times New Roman"/>
      <w:sz w:val="22"/>
    </w:rPr>
  </w:style>
  <w:style w:type="paragraph" w:customStyle="1" w:styleId="omb-boxed-text">
    <w:name w:val="omb-boxed-text"/>
    <w:basedOn w:val="Normal"/>
    <w:qFormat/>
    <w:rsid w:val="00D25500"/>
    <w:pPr>
      <w:pBdr>
        <w:top w:val="single" w:sz="6" w:space="4" w:color="auto"/>
        <w:left w:val="single" w:sz="6" w:space="4" w:color="auto"/>
        <w:bottom w:val="single" w:sz="6" w:space="4" w:color="auto"/>
        <w:right w:val="single" w:sz="6" w:space="4" w:color="auto"/>
      </w:pBdr>
      <w:autoSpaceDE w:val="0"/>
      <w:autoSpaceDN w:val="0"/>
      <w:adjustRightInd w:val="0"/>
      <w:spacing w:line="240" w:lineRule="auto"/>
      <w:ind w:left="7200"/>
    </w:pPr>
    <w:rPr>
      <w:rFonts w:eastAsia="Times New Roman"/>
      <w:color w:val="000000"/>
    </w:rPr>
  </w:style>
  <w:style w:type="paragraph" w:customStyle="1" w:styleId="QuexHeading1Vietnamese">
    <w:name w:val="Quex Heading 1 Vietnamese"/>
    <w:basedOn w:val="Heading1"/>
    <w:qFormat/>
    <w:rsid w:val="002652D4"/>
    <w:pPr>
      <w:pBdr>
        <w:top w:val="single" w:sz="4" w:space="1" w:color="auto"/>
        <w:left w:val="single" w:sz="4" w:space="4" w:color="auto"/>
        <w:bottom w:val="single" w:sz="4" w:space="1" w:color="auto"/>
        <w:right w:val="single" w:sz="4" w:space="4" w:color="auto"/>
      </w:pBdr>
      <w:shd w:val="clear" w:color="auto" w:fill="DDDDDD"/>
      <w:spacing w:before="0" w:line="320" w:lineRule="atLeast"/>
      <w:outlineLvl w:val="3"/>
    </w:pPr>
    <w:rPr>
      <w:rFonts w:ascii="VNI-Times" w:eastAsia="Arial" w:hAnsi="VNI-Times"/>
      <w:sz w:val="28"/>
      <w:u w:val="none"/>
      <w:lang w:val="vi-VN" w:eastAsia="en-US"/>
    </w:rPr>
  </w:style>
  <w:style w:type="numbering" w:customStyle="1" w:styleId="VietNumbers">
    <w:name w:val="Viet Numbers"/>
    <w:uiPriority w:val="99"/>
    <w:rsid w:val="002652D4"/>
    <w:pPr>
      <w:numPr>
        <w:numId w:val="31"/>
      </w:numPr>
    </w:pPr>
  </w:style>
  <w:style w:type="paragraph" w:customStyle="1" w:styleId="VietBodyText">
    <w:name w:val="Viet Body Text"/>
    <w:basedOn w:val="BodyText"/>
    <w:qFormat/>
    <w:rsid w:val="002652D4"/>
    <w:rPr>
      <w:rFonts w:ascii="VNI-Times" w:eastAsia="Times New Roman" w:hAnsi="VNI-Times"/>
      <w:lang w:val="vi-VN" w:eastAsia="en-US"/>
    </w:rPr>
  </w:style>
  <w:style w:type="paragraph" w:customStyle="1" w:styleId="QuestionVietnamese">
    <w:name w:val="Question Vietnamese"/>
    <w:basedOn w:val="Normal"/>
    <w:qFormat/>
    <w:rsid w:val="002652D4"/>
    <w:pPr>
      <w:keepNext/>
      <w:keepLines/>
      <w:numPr>
        <w:numId w:val="31"/>
      </w:numPr>
      <w:spacing w:before="360" w:after="120" w:line="240" w:lineRule="auto"/>
      <w:ind w:left="576" w:hanging="576"/>
    </w:pPr>
    <w:rPr>
      <w:rFonts w:ascii="VNI-Times" w:eastAsia="Times New Roman" w:hAnsi="VNI-Times"/>
      <w:lang w:val="vi-VN"/>
    </w:rPr>
  </w:style>
  <w:style w:type="paragraph" w:customStyle="1" w:styleId="VietResponse">
    <w:name w:val="Viet Response"/>
    <w:basedOn w:val="Normal"/>
    <w:qFormat/>
    <w:rsid w:val="002652D4"/>
    <w:pPr>
      <w:numPr>
        <w:ilvl w:val="1"/>
        <w:numId w:val="31"/>
      </w:numPr>
      <w:tabs>
        <w:tab w:val="clear" w:pos="2016"/>
        <w:tab w:val="left" w:pos="720"/>
        <w:tab w:val="num" w:pos="1296"/>
      </w:tabs>
      <w:spacing w:after="120" w:line="240" w:lineRule="auto"/>
      <w:ind w:left="1152"/>
    </w:pPr>
    <w:rPr>
      <w:rFonts w:ascii="VNI-Times" w:eastAsia="Times New Roman" w:hAnsi="VNI-Times"/>
      <w:lang w:val="vi-VN"/>
    </w:rPr>
  </w:style>
  <w:style w:type="paragraph" w:customStyle="1" w:styleId="VietResponseScannable">
    <w:name w:val="Viet Response Scannable"/>
    <w:basedOn w:val="VietResponse"/>
    <w:qFormat/>
    <w:rsid w:val="002652D4"/>
    <w:pPr>
      <w:numPr>
        <w:ilvl w:val="0"/>
        <w:numId w:val="0"/>
      </w:numPr>
      <w:spacing w:after="80"/>
      <w:ind w:left="864" w:hanging="288"/>
    </w:pPr>
  </w:style>
  <w:style w:type="paragraph" w:customStyle="1" w:styleId="VietBullet">
    <w:name w:val="Viet Bullet"/>
    <w:basedOn w:val="ListBullet"/>
    <w:qFormat/>
    <w:rsid w:val="00E54C91"/>
    <w:pPr>
      <w:spacing w:after="180" w:line="240" w:lineRule="auto"/>
    </w:pPr>
    <w:rPr>
      <w:rFonts w:ascii="VNI-Times" w:eastAsia="Times New Roman" w:hAnsi="VNI-Times"/>
      <w:lang w:val="vi-VN"/>
    </w:rPr>
  </w:style>
  <w:style w:type="paragraph" w:customStyle="1" w:styleId="SylfaenQuexHeading1">
    <w:name w:val="Sylfaen Quex Heading 1"/>
    <w:basedOn w:val="Heading1"/>
    <w:qFormat/>
    <w:rsid w:val="0059386A"/>
    <w:pPr>
      <w:pBdr>
        <w:top w:val="single" w:sz="4" w:space="1" w:color="auto"/>
        <w:left w:val="single" w:sz="4" w:space="4" w:color="auto"/>
        <w:bottom w:val="single" w:sz="4" w:space="1" w:color="auto"/>
        <w:right w:val="single" w:sz="4" w:space="4" w:color="auto"/>
      </w:pBdr>
      <w:shd w:val="clear" w:color="auto" w:fill="DDDDDD"/>
      <w:spacing w:before="0" w:after="360" w:line="320" w:lineRule="atLeast"/>
      <w:outlineLvl w:val="3"/>
    </w:pPr>
    <w:rPr>
      <w:rFonts w:ascii="Sylfaen" w:eastAsia="Times New Roman" w:hAnsi="Sylfaen"/>
      <w:sz w:val="24"/>
      <w:u w:val="none"/>
    </w:rPr>
  </w:style>
  <w:style w:type="paragraph" w:customStyle="1" w:styleId="OMBHead2">
    <w:name w:val="OMB Head 2"/>
    <w:basedOn w:val="Normal"/>
    <w:rsid w:val="007A3822"/>
    <w:pPr>
      <w:spacing w:after="480"/>
      <w:jc w:val="center"/>
      <w:outlineLvl w:val="2"/>
    </w:pPr>
    <w:rPr>
      <w:rFonts w:eastAsia="Times New Roman"/>
      <w:b/>
      <w:sz w:val="32"/>
      <w:szCs w:val="32"/>
    </w:rPr>
  </w:style>
  <w:style w:type="paragraph" w:customStyle="1" w:styleId="OMBHead3">
    <w:name w:val="OMB Head 3"/>
    <w:basedOn w:val="Normal"/>
    <w:qFormat/>
    <w:rsid w:val="007A3822"/>
    <w:pPr>
      <w:keepNext/>
      <w:outlineLvl w:val="3"/>
    </w:pPr>
    <w:rPr>
      <w:rFonts w:eastAsia="Times New Roman"/>
    </w:rPr>
  </w:style>
  <w:style w:type="paragraph" w:customStyle="1" w:styleId="AppendixHeading2">
    <w:name w:val="AppendixHeading2"/>
    <w:basedOn w:val="AppendixHeading1"/>
    <w:qFormat/>
    <w:rsid w:val="006B7932"/>
    <w:pPr>
      <w:spacing w:before="0"/>
      <w:outlineLvl w:val="2"/>
    </w:pPr>
    <w:rPr>
      <w:rFonts w:eastAsia="Times New Roman"/>
    </w:rPr>
  </w:style>
  <w:style w:type="paragraph" w:customStyle="1" w:styleId="AppHeading2-FAQ">
    <w:name w:val="AppHeading2-FAQ"/>
    <w:basedOn w:val="Heading1"/>
    <w:qFormat/>
    <w:rsid w:val="009C6AEF"/>
    <w:pPr>
      <w:spacing w:before="0"/>
      <w:contextualSpacing/>
      <w:outlineLvl w:val="2"/>
    </w:pPr>
    <w:rPr>
      <w:rFonts w:ascii="Times New Roman" w:eastAsia="Times New Roman" w:hAnsi="Times New Roman"/>
      <w:sz w:val="28"/>
      <w:szCs w:val="28"/>
      <w:u w:val="none"/>
      <w:lang w:val="en-US" w:eastAsia="en-US"/>
    </w:rPr>
  </w:style>
  <w:style w:type="paragraph" w:customStyle="1" w:styleId="AppHeading3-FAQ">
    <w:name w:val="AppHeading3-FAQ"/>
    <w:basedOn w:val="Heading3"/>
    <w:qFormat/>
    <w:rsid w:val="00CC1D2B"/>
    <w:pPr>
      <w:spacing w:before="0" w:line="320" w:lineRule="atLeast"/>
      <w:outlineLvl w:val="3"/>
    </w:pPr>
    <w:rPr>
      <w:rFonts w:eastAsia="Times New Roman"/>
      <w:sz w:val="24"/>
      <w:szCs w:val="26"/>
      <w:lang w:val="en-US" w:eastAsia="en-US"/>
    </w:rPr>
  </w:style>
  <w:style w:type="paragraph" w:customStyle="1" w:styleId="Instructions">
    <w:name w:val="Instructions"/>
    <w:basedOn w:val="BodyText"/>
    <w:qFormat/>
    <w:rsid w:val="009C6AEF"/>
    <w:pPr>
      <w:spacing w:after="120"/>
    </w:pPr>
    <w:rPr>
      <w:rFonts w:eastAsia="Times New Roman"/>
      <w:i/>
      <w:caps/>
      <w:lang w:val="en-US" w:eastAsia="en-US"/>
    </w:rPr>
  </w:style>
  <w:style w:type="paragraph" w:customStyle="1" w:styleId="AppHeading2-AppM">
    <w:name w:val="AppHeading2-AppM"/>
    <w:basedOn w:val="Normal"/>
    <w:rsid w:val="00B02C90"/>
    <w:pPr>
      <w:keepNext/>
      <w:spacing w:before="360" w:line="240" w:lineRule="auto"/>
      <w:outlineLvl w:val="3"/>
    </w:pPr>
    <w:rPr>
      <w:rFonts w:ascii="Arial" w:eastAsia="Times New Roman" w:hAnsi="Arial" w:cs="Arial"/>
      <w:b/>
      <w:bCs/>
      <w:iCs/>
      <w:caps/>
      <w:smallCaps/>
      <w:szCs w:val="28"/>
    </w:rPr>
  </w:style>
  <w:style w:type="paragraph" w:customStyle="1" w:styleId="AppHeading3-APPM">
    <w:name w:val="AppHeading3-APPM"/>
    <w:basedOn w:val="Heading3"/>
    <w:qFormat/>
    <w:rsid w:val="00B02C90"/>
    <w:pPr>
      <w:spacing w:before="0" w:line="320" w:lineRule="atLeast"/>
      <w:outlineLvl w:val="4"/>
    </w:pPr>
    <w:rPr>
      <w:rFonts w:eastAsia="Times New Roman"/>
      <w:sz w:val="24"/>
      <w:szCs w:val="26"/>
      <w:lang w:val="en-US" w:eastAsia="en-US"/>
    </w:rPr>
  </w:style>
  <w:style w:type="paragraph" w:customStyle="1" w:styleId="AppHeading3-appq">
    <w:name w:val="AppHeading3-appq"/>
    <w:basedOn w:val="Normal"/>
    <w:rsid w:val="00CC1D2B"/>
    <w:pPr>
      <w:keepNext/>
      <w:spacing w:before="360" w:line="240" w:lineRule="auto"/>
      <w:ind w:left="540" w:hanging="540"/>
      <w:outlineLvl w:val="3"/>
    </w:pPr>
    <w:rPr>
      <w:rFonts w:ascii="Arial" w:eastAsia="Times New Roman" w:hAnsi="Arial" w:cs="Arial"/>
      <w:b/>
      <w:bCs/>
      <w:iCs/>
      <w:caps/>
      <w:smallCaps/>
      <w:sz w:val="22"/>
      <w:szCs w:val="28"/>
    </w:rPr>
  </w:style>
  <w:style w:type="paragraph" w:customStyle="1" w:styleId="AppHeading4-appq">
    <w:name w:val="AppHeading4-appq"/>
    <w:basedOn w:val="Heading3"/>
    <w:qFormat/>
    <w:rsid w:val="00CC1D2B"/>
    <w:pPr>
      <w:spacing w:before="0" w:line="320" w:lineRule="atLeast"/>
      <w:outlineLvl w:val="4"/>
    </w:pPr>
    <w:rPr>
      <w:rFonts w:eastAsia="Times New Roman"/>
      <w:sz w:val="24"/>
      <w:szCs w:val="26"/>
      <w:lang w:val="en-US" w:eastAsia="en-US"/>
    </w:rPr>
  </w:style>
  <w:style w:type="paragraph" w:customStyle="1" w:styleId="AppHeading3-appr">
    <w:name w:val="AppHeading3-appr"/>
    <w:basedOn w:val="Normal"/>
    <w:rsid w:val="00941558"/>
    <w:pPr>
      <w:keepNext/>
      <w:spacing w:before="360" w:line="240" w:lineRule="auto"/>
      <w:outlineLvl w:val="3"/>
    </w:pPr>
    <w:rPr>
      <w:rFonts w:ascii="Arial" w:eastAsia="Times New Roman" w:hAnsi="Arial" w:cs="Arial"/>
      <w:b/>
      <w:bCs/>
      <w:iCs/>
      <w:caps/>
      <w:smallCaps/>
      <w:szCs w:val="28"/>
    </w:rPr>
  </w:style>
  <w:style w:type="paragraph" w:customStyle="1" w:styleId="AppHeading4-appr">
    <w:name w:val="AppHeading4-appr"/>
    <w:basedOn w:val="Heading3"/>
    <w:qFormat/>
    <w:rsid w:val="00941558"/>
    <w:pPr>
      <w:spacing w:before="0" w:line="320" w:lineRule="atLeast"/>
      <w:outlineLvl w:val="4"/>
    </w:pPr>
    <w:rPr>
      <w:rFonts w:eastAsia="Times New Roman"/>
      <w:sz w:val="24"/>
      <w:szCs w:val="26"/>
      <w:lang w:val="en-US" w:eastAsia="en-US"/>
    </w:rPr>
  </w:style>
  <w:style w:type="paragraph" w:customStyle="1" w:styleId="LetterBoxText">
    <w:name w:val="Letter Box Text"/>
    <w:basedOn w:val="Normal"/>
    <w:qFormat/>
    <w:rsid w:val="00824908"/>
    <w:pPr>
      <w:spacing w:after="120"/>
      <w:jc w:val="center"/>
    </w:pPr>
    <w:rPr>
      <w:rFonts w:eastAsia="Times New Roman"/>
      <w:b/>
      <w:bCs/>
      <w:sz w:val="28"/>
      <w:szCs w:val="32"/>
    </w:rPr>
  </w:style>
  <w:style w:type="paragraph" w:customStyle="1" w:styleId="VietResponseLast">
    <w:name w:val="Viet Response Last"/>
    <w:basedOn w:val="VietResponse"/>
    <w:qFormat/>
    <w:rsid w:val="00C1430F"/>
    <w:pPr>
      <w:numPr>
        <w:numId w:val="32"/>
      </w:numPr>
      <w:tabs>
        <w:tab w:val="num" w:pos="1296"/>
      </w:tabs>
      <w:ind w:left="1152"/>
    </w:pPr>
  </w:style>
  <w:style w:type="paragraph" w:customStyle="1" w:styleId="Q1-AppC-TIScript">
    <w:name w:val="Q1-AppC-TIScript"/>
    <w:basedOn w:val="List3"/>
    <w:qFormat/>
    <w:rsid w:val="00B460B6"/>
    <w:pPr>
      <w:ind w:left="1440" w:hanging="1440"/>
    </w:pPr>
  </w:style>
  <w:style w:type="paragraph" w:customStyle="1" w:styleId="msonormal0">
    <w:name w:val="msonormal"/>
    <w:basedOn w:val="Normal"/>
    <w:rsid w:val="00A07DC0"/>
    <w:pPr>
      <w:spacing w:before="100" w:beforeAutospacing="1" w:after="100" w:afterAutospacing="1"/>
    </w:pPr>
    <w:rPr>
      <w:rFonts w:eastAsia="Times New Roman"/>
      <w:color w:val="000000"/>
    </w:rPr>
  </w:style>
  <w:style w:type="character" w:customStyle="1" w:styleId="BodyTextIndentChar1">
    <w:name w:val="Body Text Indent Char1"/>
    <w:aliases w:val="Body Text Indent_telephone Char1"/>
    <w:basedOn w:val="DefaultParagraphFont"/>
    <w:semiHidden/>
    <w:rsid w:val="00A07DC0"/>
    <w:rPr>
      <w:rFonts w:eastAsia="Times New Roman"/>
      <w:sz w:val="24"/>
      <w:lang w:eastAsia="en-US"/>
    </w:rPr>
  </w:style>
  <w:style w:type="paragraph" w:customStyle="1" w:styleId="Tablebullet2">
    <w:name w:val="Table bullet 2"/>
    <w:basedOn w:val="Normal"/>
    <w:qFormat/>
    <w:rsid w:val="00E74C7B"/>
    <w:pPr>
      <w:widowControl w:val="0"/>
      <w:numPr>
        <w:numId w:val="37"/>
      </w:numPr>
      <w:spacing w:before="40" w:after="40" w:line="240" w:lineRule="auto"/>
    </w:pPr>
    <w:rPr>
      <w:rFonts w:eastAsia="Times New Roman"/>
    </w:rPr>
  </w:style>
  <w:style w:type="paragraph" w:customStyle="1" w:styleId="TableBullet">
    <w:name w:val="Table Bullet"/>
    <w:basedOn w:val="ListParagraph"/>
    <w:qFormat/>
    <w:rsid w:val="00AF454B"/>
    <w:pPr>
      <w:numPr>
        <w:numId w:val="42"/>
      </w:numPr>
      <w:spacing w:after="120"/>
      <w:ind w:left="374"/>
      <w:contextualSpacing/>
    </w:pPr>
    <w:rPr>
      <w:szCs w:val="20"/>
    </w:rPr>
  </w:style>
  <w:style w:type="paragraph" w:customStyle="1" w:styleId="TableBulletLM">
    <w:name w:val="Table Bullet LM"/>
    <w:basedOn w:val="TableBullet"/>
    <w:qFormat/>
    <w:rsid w:val="00E74C7B"/>
    <w:rPr>
      <w:snapToGrid w:val="0"/>
    </w:rPr>
  </w:style>
  <w:style w:type="paragraph" w:customStyle="1" w:styleId="TableTextbold">
    <w:name w:val="Table Text_bold"/>
    <w:basedOn w:val="Normal"/>
    <w:qFormat/>
    <w:rsid w:val="00E74C7B"/>
    <w:pPr>
      <w:spacing w:before="40" w:after="40" w:line="240" w:lineRule="auto"/>
    </w:pPr>
    <w:rPr>
      <w:rFonts w:eastAsia="Times New Roman"/>
      <w:b/>
    </w:rPr>
  </w:style>
  <w:style w:type="paragraph" w:customStyle="1" w:styleId="TableBulletLMTable3-1">
    <w:name w:val="Table BulletLM_Table3-1"/>
    <w:qFormat/>
    <w:rsid w:val="002B5077"/>
    <w:pPr>
      <w:numPr>
        <w:numId w:val="34"/>
      </w:numPr>
      <w:spacing w:before="40" w:after="40"/>
      <w:ind w:left="216" w:hanging="216"/>
    </w:pPr>
    <w:rPr>
      <w:rFonts w:ascii="Arial" w:eastAsia="Calibri" w:hAnsi="Arial" w:cs="Arial"/>
      <w:szCs w:val="24"/>
      <w:lang w:eastAsia="en-US"/>
    </w:rPr>
  </w:style>
  <w:style w:type="paragraph" w:customStyle="1" w:styleId="TableBullet2Table3-1">
    <w:name w:val="Table Bullet 2_Table3-1"/>
    <w:basedOn w:val="Tablebullet2"/>
    <w:qFormat/>
    <w:rsid w:val="002B5077"/>
    <w:pPr>
      <w:ind w:left="518"/>
    </w:pPr>
    <w:rPr>
      <w:rFonts w:ascii="Arial" w:hAnsi="Arial"/>
    </w:rPr>
  </w:style>
  <w:style w:type="paragraph" w:customStyle="1" w:styleId="Tablecontinued">
    <w:name w:val="Table continued"/>
    <w:basedOn w:val="Normal"/>
    <w:qFormat/>
    <w:rsid w:val="00DB0CB2"/>
    <w:pPr>
      <w:spacing w:line="240" w:lineRule="auto"/>
      <w:jc w:val="right"/>
    </w:pPr>
    <w:rPr>
      <w:rFonts w:ascii="Arial" w:hAnsi="Arial" w:cs="Arial"/>
    </w:rPr>
  </w:style>
  <w:style w:type="paragraph" w:customStyle="1" w:styleId="Bulletmanually">
    <w:name w:val="Bullet_manually"/>
    <w:basedOn w:val="BodyText"/>
    <w:qFormat/>
    <w:rsid w:val="00455028"/>
    <w:pPr>
      <w:ind w:left="720" w:hanging="360"/>
    </w:pPr>
    <w:rPr>
      <w:lang w:val="en-US"/>
    </w:rPr>
  </w:style>
  <w:style w:type="character" w:customStyle="1" w:styleId="cf01">
    <w:name w:val="cf01"/>
    <w:basedOn w:val="DefaultParagraphFont"/>
    <w:rsid w:val="008F6DBD"/>
    <w:rPr>
      <w:rFonts w:ascii="Segoe UI" w:hAnsi="Segoe UI" w:cs="Segoe UI" w:hint="default"/>
      <w:sz w:val="18"/>
      <w:szCs w:val="18"/>
    </w:rPr>
  </w:style>
  <w:style w:type="paragraph" w:customStyle="1" w:styleId="AppDQIntro">
    <w:name w:val="AppD_Q_Intro"/>
    <w:qFormat/>
    <w:rsid w:val="008F6DBD"/>
    <w:pPr>
      <w:spacing w:before="240" w:after="120"/>
      <w:ind w:left="1440" w:hanging="1440"/>
    </w:pPr>
    <w:rPr>
      <w:rFonts w:eastAsia="SimSun"/>
      <w:sz w:val="24"/>
      <w:lang w:val="es-US" w:eastAsia="x-none"/>
    </w:rPr>
  </w:style>
  <w:style w:type="paragraph" w:customStyle="1" w:styleId="AppDSpanishQ">
    <w:name w:val="AppD_Spanish_Q"/>
    <w:qFormat/>
    <w:rsid w:val="008F6DBD"/>
    <w:pPr>
      <w:spacing w:after="120" w:line="320" w:lineRule="atLeast"/>
      <w:ind w:left="1440" w:hanging="1440"/>
    </w:pPr>
    <w:rPr>
      <w:rFonts w:eastAsia="SimSun"/>
      <w:sz w:val="24"/>
      <w:lang w:val="es-US" w:eastAsia="en-US"/>
    </w:rPr>
  </w:style>
  <w:style w:type="character" w:customStyle="1" w:styleId="cf11">
    <w:name w:val="cf11"/>
    <w:basedOn w:val="DefaultParagraphFont"/>
    <w:rsid w:val="008F6DBD"/>
    <w:rPr>
      <w:rFonts w:ascii="Segoe UI" w:hAnsi="Segoe UI" w:cs="Segoe UI" w:hint="default"/>
      <w:sz w:val="18"/>
      <w:szCs w:val="18"/>
    </w:rPr>
  </w:style>
  <w:style w:type="character" w:customStyle="1" w:styleId="cf21">
    <w:name w:val="cf21"/>
    <w:basedOn w:val="DefaultParagraphFont"/>
    <w:rsid w:val="008F6DBD"/>
    <w:rPr>
      <w:rFonts w:ascii="Segoe UI" w:hAnsi="Segoe UI" w:cs="Segoe UI" w:hint="default"/>
      <w:sz w:val="18"/>
      <w:szCs w:val="18"/>
    </w:rPr>
  </w:style>
  <w:style w:type="paragraph" w:customStyle="1" w:styleId="BodyTextAppA-Bold">
    <w:name w:val="Body Text AppA-Bold"/>
    <w:basedOn w:val="BodyTextAppA"/>
    <w:qFormat/>
    <w:rsid w:val="00677F8E"/>
    <w:pPr>
      <w:spacing w:line="320" w:lineRule="atLeast"/>
    </w:pPr>
    <w:rPr>
      <w:rFonts w:ascii="Arial" w:eastAsia="Times New Roman" w:hAnsi="Arial"/>
      <w:b/>
      <w:iCs/>
      <w:lang w:val="en-US" w:eastAsia="en-US"/>
    </w:rPr>
  </w:style>
  <w:style w:type="paragraph" w:customStyle="1" w:styleId="AppAQuestionInd">
    <w:name w:val="AppAQuestionInd"/>
    <w:basedOn w:val="Normal"/>
    <w:qFormat/>
    <w:rsid w:val="008F6DBD"/>
    <w:pPr>
      <w:keepNext/>
      <w:spacing w:line="240" w:lineRule="auto"/>
      <w:ind w:left="720"/>
    </w:pPr>
    <w:rPr>
      <w:rFonts w:eastAsia="Times New Roman" w:cs="Arial"/>
      <w:szCs w:val="22"/>
    </w:rPr>
  </w:style>
  <w:style w:type="paragraph" w:customStyle="1" w:styleId="BodyTextAppA-Indent1">
    <w:name w:val="Body Text AppA-Indent1"/>
    <w:basedOn w:val="Normal"/>
    <w:qFormat/>
    <w:rsid w:val="008F6DBD"/>
    <w:pPr>
      <w:spacing w:line="240" w:lineRule="auto"/>
      <w:ind w:left="450"/>
    </w:pPr>
    <w:rPr>
      <w:rFonts w:eastAsia="Times New Roman"/>
      <w:szCs w:val="24"/>
    </w:rPr>
  </w:style>
  <w:style w:type="paragraph" w:customStyle="1" w:styleId="AppAYesNo">
    <w:name w:val="AppA_Yes_No"/>
    <w:qFormat/>
    <w:rsid w:val="008F6DBD"/>
    <w:pPr>
      <w:tabs>
        <w:tab w:val="left" w:pos="720"/>
      </w:tabs>
      <w:spacing w:after="240"/>
      <w:ind w:left="720"/>
    </w:pPr>
    <w:rPr>
      <w:rFonts w:eastAsia="Times New Roman" w:cs="Arial"/>
      <w:sz w:val="24"/>
      <w:szCs w:val="22"/>
      <w:lang w:eastAsia="en-US"/>
    </w:rPr>
  </w:style>
  <w:style w:type="paragraph" w:customStyle="1" w:styleId="AppAYesNo2">
    <w:name w:val="AppA_Yes_No_2"/>
    <w:basedOn w:val="AppAYesNo"/>
    <w:qFormat/>
    <w:rsid w:val="008F6DBD"/>
    <w:pPr>
      <w:tabs>
        <w:tab w:val="left" w:pos="1980"/>
      </w:tabs>
    </w:pPr>
  </w:style>
  <w:style w:type="paragraph" w:customStyle="1" w:styleId="AppAQuestionInda">
    <w:name w:val="AppAQuestionInd_a"/>
    <w:qFormat/>
    <w:rsid w:val="008F6DBD"/>
    <w:pPr>
      <w:spacing w:after="200"/>
      <w:ind w:left="1267" w:hanging="360"/>
    </w:pPr>
    <w:rPr>
      <w:rFonts w:eastAsia="Times New Roman" w:cs="Arial"/>
      <w:sz w:val="24"/>
      <w:szCs w:val="22"/>
      <w:lang w:eastAsia="en-US"/>
    </w:rPr>
  </w:style>
  <w:style w:type="paragraph" w:customStyle="1" w:styleId="AppAYesNo3">
    <w:name w:val="AppA_Yes_No_3"/>
    <w:basedOn w:val="AppAQuestionInda"/>
    <w:qFormat/>
    <w:rsid w:val="008F6DBD"/>
    <w:pPr>
      <w:tabs>
        <w:tab w:val="left" w:pos="2520"/>
      </w:tabs>
      <w:spacing w:after="240"/>
      <w:ind w:left="1310" w:firstLine="0"/>
    </w:pPr>
  </w:style>
  <w:style w:type="character" w:styleId="EndnoteReference">
    <w:name w:val="endnote reference"/>
    <w:basedOn w:val="DefaultParagraphFont"/>
    <w:locked/>
    <w:rsid w:val="00ED78A6"/>
    <w:rPr>
      <w:vertAlign w:val="superscript"/>
    </w:rPr>
  </w:style>
  <w:style w:type="table" w:styleId="GridTable4-Accent1">
    <w:name w:val="Grid Table 4 Accent 1"/>
    <w:basedOn w:val="TableNormal"/>
    <w:uiPriority w:val="49"/>
    <w:rsid w:val="00FD5732"/>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362E08"/>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Bullet10">
    <w:name w:val="App Bullet 1"/>
    <w:basedOn w:val="BodyTextAppA-Bold"/>
    <w:qFormat/>
    <w:rsid w:val="006D4B6B"/>
    <w:pPr>
      <w:numPr>
        <w:numId w:val="53"/>
      </w:numPr>
      <w:spacing w:after="120" w:line="240" w:lineRule="auto"/>
    </w:pPr>
    <w:rPr>
      <w:rFonts w:ascii="Verdana" w:hAnsi="Verdana"/>
      <w:b w:val="0"/>
      <w:szCs w:val="20"/>
    </w:rPr>
  </w:style>
  <w:style w:type="paragraph" w:customStyle="1" w:styleId="AppBullt2">
    <w:name w:val="App Bullt 2"/>
    <w:basedOn w:val="BodyText"/>
    <w:qFormat/>
    <w:rsid w:val="007A7575"/>
    <w:pPr>
      <w:numPr>
        <w:ilvl w:val="1"/>
        <w:numId w:val="40"/>
      </w:numPr>
      <w:spacing w:after="120" w:line="240" w:lineRule="auto"/>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6515">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5906">
      <w:bodyDiv w:val="1"/>
      <w:marLeft w:val="0"/>
      <w:marRight w:val="0"/>
      <w:marTop w:val="0"/>
      <w:marBottom w:val="0"/>
      <w:divBdr>
        <w:top w:val="none" w:sz="0" w:space="0" w:color="auto"/>
        <w:left w:val="none" w:sz="0" w:space="0" w:color="auto"/>
        <w:bottom w:val="none" w:sz="0" w:space="0" w:color="auto"/>
        <w:right w:val="none" w:sz="0" w:space="0" w:color="auto"/>
      </w:divBdr>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63497524">
      <w:bodyDiv w:val="1"/>
      <w:marLeft w:val="0"/>
      <w:marRight w:val="0"/>
      <w:marTop w:val="0"/>
      <w:marBottom w:val="0"/>
      <w:divBdr>
        <w:top w:val="none" w:sz="0" w:space="0" w:color="auto"/>
        <w:left w:val="none" w:sz="0" w:space="0" w:color="auto"/>
        <w:bottom w:val="none" w:sz="0" w:space="0" w:color="auto"/>
        <w:right w:val="none" w:sz="0" w:space="0" w:color="auto"/>
      </w:divBdr>
    </w:div>
    <w:div w:id="930234384">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9256">
      <w:bodyDiv w:val="1"/>
      <w:marLeft w:val="0"/>
      <w:marRight w:val="0"/>
      <w:marTop w:val="0"/>
      <w:marBottom w:val="0"/>
      <w:divBdr>
        <w:top w:val="none" w:sz="0" w:space="0" w:color="auto"/>
        <w:left w:val="none" w:sz="0" w:space="0" w:color="auto"/>
        <w:bottom w:val="none" w:sz="0" w:space="0" w:color="auto"/>
        <w:right w:val="none" w:sz="0" w:space="0" w:color="auto"/>
      </w:divBdr>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16161171">
      <w:bodyDiv w:val="1"/>
      <w:marLeft w:val="0"/>
      <w:marRight w:val="0"/>
      <w:marTop w:val="0"/>
      <w:marBottom w:val="0"/>
      <w:divBdr>
        <w:top w:val="none" w:sz="0" w:space="0" w:color="auto"/>
        <w:left w:val="none" w:sz="0" w:space="0" w:color="auto"/>
        <w:bottom w:val="none" w:sz="0" w:space="0" w:color="auto"/>
        <w:right w:val="none" w:sz="0" w:space="0" w:color="auto"/>
      </w:divBdr>
    </w:div>
    <w:div w:id="1639140921">
      <w:bodyDiv w:val="1"/>
      <w:marLeft w:val="0"/>
      <w:marRight w:val="0"/>
      <w:marTop w:val="0"/>
      <w:marBottom w:val="0"/>
      <w:divBdr>
        <w:top w:val="none" w:sz="0" w:space="0" w:color="auto"/>
        <w:left w:val="none" w:sz="0" w:space="0" w:color="auto"/>
        <w:bottom w:val="none" w:sz="0" w:space="0" w:color="auto"/>
        <w:right w:val="none" w:sz="0" w:space="0" w:color="auto"/>
      </w:divBdr>
    </w:div>
    <w:div w:id="1712611626">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49814">
      <w:bodyDiv w:val="1"/>
      <w:marLeft w:val="0"/>
      <w:marRight w:val="0"/>
      <w:marTop w:val="0"/>
      <w:marBottom w:val="0"/>
      <w:divBdr>
        <w:top w:val="none" w:sz="0" w:space="0" w:color="auto"/>
        <w:left w:val="none" w:sz="0" w:space="0" w:color="auto"/>
        <w:bottom w:val="none" w:sz="0" w:space="0" w:color="auto"/>
        <w:right w:val="none" w:sz="0" w:space="0" w:color="auto"/>
      </w:divBdr>
      <w:divsChild>
        <w:div w:id="1781222645">
          <w:marLeft w:val="547"/>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image" Target="media/image11.png"/><Relationship Id="rId21" Type="http://schemas.openxmlformats.org/officeDocument/2006/relationships/image" Target="media/image3.svg"/><Relationship Id="rId42" Type="http://schemas.openxmlformats.org/officeDocument/2006/relationships/hyperlink" Target="https://homehealthcahps.org/" TargetMode="External"/><Relationship Id="rId47" Type="http://schemas.openxmlformats.org/officeDocument/2006/relationships/hyperlink" Target="https://homehealthcahps.org/" TargetMode="External"/><Relationship Id="rId63" Type="http://schemas.openxmlformats.org/officeDocument/2006/relationships/header" Target="header16.xml"/><Relationship Id="rId68" Type="http://schemas.openxmlformats.org/officeDocument/2006/relationships/hyperlink" Target="https://oig.hhs.gov/compliance/rat-stats/index.asp" TargetMode="External"/><Relationship Id="rId84" Type="http://schemas.openxmlformats.org/officeDocument/2006/relationships/hyperlink" Target="https://homehealthcahps.org/Survey-and-Protocols/Survey-Materials" TargetMode="External"/><Relationship Id="rId89" Type="http://schemas.openxmlformats.org/officeDocument/2006/relationships/hyperlink" Target="https://www.ftc.gov/" TargetMode="External"/><Relationship Id="rId112" Type="http://schemas.openxmlformats.org/officeDocument/2006/relationships/header" Target="header31.xml"/><Relationship Id="rId133" Type="http://schemas.openxmlformats.org/officeDocument/2006/relationships/hyperlink" Target="https://homehealthcahps.org/Data-Submission/Data-Submission-Resources" TargetMode="External"/><Relationship Id="rId138" Type="http://schemas.openxmlformats.org/officeDocument/2006/relationships/hyperlink" Target="https://homehealthcahps.org/Data-Submission/Data-Submission-Resources" TargetMode="External"/><Relationship Id="rId154" Type="http://schemas.openxmlformats.org/officeDocument/2006/relationships/hyperlink" Target="https://data.cms.gov/provider-data/" TargetMode="External"/><Relationship Id="rId159" Type="http://schemas.openxmlformats.org/officeDocument/2006/relationships/header" Target="header42.xml"/><Relationship Id="rId170"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eader" Target="header27.xml"/><Relationship Id="rId11" Type="http://schemas.openxmlformats.org/officeDocument/2006/relationships/image" Target="media/image1.png"/><Relationship Id="rId32" Type="http://schemas.openxmlformats.org/officeDocument/2006/relationships/header" Target="header9.xml"/><Relationship Id="rId37" Type="http://schemas.openxmlformats.org/officeDocument/2006/relationships/footer" Target="footer8.xml"/><Relationship Id="rId53" Type="http://schemas.openxmlformats.org/officeDocument/2006/relationships/header" Target="header15.xml"/><Relationship Id="rId58" Type="http://schemas.openxmlformats.org/officeDocument/2006/relationships/hyperlink" Target="https://homehealthcahps.org/Training/Training-Materials" TargetMode="External"/><Relationship Id="rId74" Type="http://schemas.openxmlformats.org/officeDocument/2006/relationships/footer" Target="footer13.xml"/><Relationship Id="rId79" Type="http://schemas.openxmlformats.org/officeDocument/2006/relationships/hyperlink" Target="https://homehealthcahps.org/Survey-and-Protocols/Survey-Materials" TargetMode="External"/><Relationship Id="rId102" Type="http://schemas.openxmlformats.org/officeDocument/2006/relationships/footer" Target="footer16.xml"/><Relationship Id="rId123" Type="http://schemas.openxmlformats.org/officeDocument/2006/relationships/footer" Target="footer20.xml"/><Relationship Id="rId128" Type="http://schemas.openxmlformats.org/officeDocument/2006/relationships/hyperlink" Target="https://homehealthcahps.org/" TargetMode="External"/><Relationship Id="rId144" Type="http://schemas.openxmlformats.org/officeDocument/2006/relationships/hyperlink" Target="https://homehealthcahps.org/Data-Submission/Data-Submission-Resources" TargetMode="External"/><Relationship Id="rId149" Type="http://schemas.openxmlformats.org/officeDocument/2006/relationships/hyperlink" Target="https://homehealthcahps.org/Portals/0/Model_QAP.pdf" TargetMode="External"/><Relationship Id="rId5" Type="http://schemas.openxmlformats.org/officeDocument/2006/relationships/numbering" Target="numbering.xml"/><Relationship Id="rId90" Type="http://schemas.openxmlformats.org/officeDocument/2006/relationships/hyperlink" Target="https://www.fcc.gov/" TargetMode="External"/><Relationship Id="rId95" Type="http://schemas.openxmlformats.org/officeDocument/2006/relationships/hyperlink" Target="https://homehealthcahps.org/Survey-and-Protocols/Survey-Materials" TargetMode="External"/><Relationship Id="rId160" Type="http://schemas.openxmlformats.org/officeDocument/2006/relationships/hyperlink" Target="https://homehealthcahps.org/Data-Submission/Data-Submission-Resources" TargetMode="External"/><Relationship Id="rId165" Type="http://schemas.openxmlformats.org/officeDocument/2006/relationships/footer" Target="footer23.xml"/><Relationship Id="rId22" Type="http://schemas.openxmlformats.org/officeDocument/2006/relationships/hyperlink" Target="mailto:hhcahps@rti.org" TargetMode="External"/><Relationship Id="rId27" Type="http://schemas.openxmlformats.org/officeDocument/2006/relationships/header" Target="header6.xml"/><Relationship Id="rId43" Type="http://schemas.openxmlformats.org/officeDocument/2006/relationships/hyperlink" Target="https://homehealthcahps.org/For-HHAs/Participation-Exemption-Request-Form" TargetMode="External"/><Relationship Id="rId48" Type="http://schemas.openxmlformats.org/officeDocument/2006/relationships/hyperlink" Target="https://homehealthcahps.org/Data-Submission/Data-Submission-Resources" TargetMode="External"/><Relationship Id="rId64" Type="http://schemas.openxmlformats.org/officeDocument/2006/relationships/header" Target="header17.xml"/><Relationship Id="rId69" Type="http://schemas.openxmlformats.org/officeDocument/2006/relationships/image" Target="media/image4.png"/><Relationship Id="rId113" Type="http://schemas.openxmlformats.org/officeDocument/2006/relationships/image" Target="media/image7.png"/><Relationship Id="rId118" Type="http://schemas.openxmlformats.org/officeDocument/2006/relationships/header" Target="header32.xml"/><Relationship Id="rId134" Type="http://schemas.openxmlformats.org/officeDocument/2006/relationships/hyperlink" Target="https://homehealthcahps.org/Data-Submission/Data-Submission-Resources" TargetMode="External"/><Relationship Id="rId139" Type="http://schemas.openxmlformats.org/officeDocument/2006/relationships/header" Target="header35.xml"/><Relationship Id="rId80" Type="http://schemas.openxmlformats.org/officeDocument/2006/relationships/hyperlink" Target="https://homehealthcahps.org/Survey-and-Protocols/Survey-Materials" TargetMode="External"/><Relationship Id="rId85" Type="http://schemas.openxmlformats.org/officeDocument/2006/relationships/header" Target="header22.xml"/><Relationship Id="rId150" Type="http://schemas.openxmlformats.org/officeDocument/2006/relationships/hyperlink" Target="mailto:hhcahps@rti.org" TargetMode="External"/><Relationship Id="rId155" Type="http://schemas.openxmlformats.org/officeDocument/2006/relationships/header" Target="header41.xml"/><Relationship Id="rId12" Type="http://schemas.openxmlformats.org/officeDocument/2006/relationships/image" Target="cid:image001.png@01CD5060.ED756A30" TargetMode="External"/><Relationship Id="rId17" Type="http://schemas.openxmlformats.org/officeDocument/2006/relationships/header" Target="header3.xml"/><Relationship Id="rId33" Type="http://schemas.openxmlformats.org/officeDocument/2006/relationships/hyperlink" Target="https://homehealthcahps.org/" TargetMode="External"/><Relationship Id="rId38" Type="http://schemas.openxmlformats.org/officeDocument/2006/relationships/header" Target="header12.xml"/><Relationship Id="rId59" Type="http://schemas.openxmlformats.org/officeDocument/2006/relationships/hyperlink" Target="mailto:hhcahps@rti.org" TargetMode="External"/><Relationship Id="rId103" Type="http://schemas.openxmlformats.org/officeDocument/2006/relationships/header" Target="header25.xml"/><Relationship Id="rId108" Type="http://schemas.openxmlformats.org/officeDocument/2006/relationships/hyperlink" Target="mailto:hhcahps@rti.org" TargetMode="External"/><Relationship Id="rId124" Type="http://schemas.openxmlformats.org/officeDocument/2006/relationships/hyperlink" Target="https://homehealthcahps.org/" TargetMode="External"/><Relationship Id="rId129" Type="http://schemas.openxmlformats.org/officeDocument/2006/relationships/image" Target="media/image13.png"/><Relationship Id="rId54" Type="http://schemas.openxmlformats.org/officeDocument/2006/relationships/hyperlink" Target="https://homehealthcahps.org/For-HHAs/Participation-Exemption-Request-Form" TargetMode="External"/><Relationship Id="rId70" Type="http://schemas.openxmlformats.org/officeDocument/2006/relationships/hyperlink" Target="mailto:hhcahps@rti.org" TargetMode="External"/><Relationship Id="rId75" Type="http://schemas.openxmlformats.org/officeDocument/2006/relationships/header" Target="header21.xml"/><Relationship Id="rId91" Type="http://schemas.openxmlformats.org/officeDocument/2006/relationships/hyperlink" Target="https://homehealthcahps.org/Survey-and-Protocols/Survey-Materials" TargetMode="External"/><Relationship Id="rId96" Type="http://schemas.openxmlformats.org/officeDocument/2006/relationships/hyperlink" Target="https://www.aapor.org/" TargetMode="External"/><Relationship Id="rId140" Type="http://schemas.openxmlformats.org/officeDocument/2006/relationships/header" Target="header36.xml"/><Relationship Id="rId145" Type="http://schemas.openxmlformats.org/officeDocument/2006/relationships/hyperlink" Target="https://www.medicare.gov/care-compare/" TargetMode="External"/><Relationship Id="rId161" Type="http://schemas.openxmlformats.org/officeDocument/2006/relationships/hyperlink" Target="https://homehealthcahps.org/Portals/0/Model_QAP.pdf?ver=tQrZlFHqiPoCe2Y-T35aiw%3d%3d" TargetMode="External"/><Relationship Id="rId166"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49" Type="http://schemas.openxmlformats.org/officeDocument/2006/relationships/hyperlink" Target="https://www.medicare.gov/care-compare/" TargetMode="External"/><Relationship Id="rId57" Type="http://schemas.openxmlformats.org/officeDocument/2006/relationships/hyperlink" Target="https://homehealthcahps.org/Training/Training-Materials" TargetMode="External"/><Relationship Id="rId106" Type="http://schemas.openxmlformats.org/officeDocument/2006/relationships/header" Target="header26.xml"/><Relationship Id="rId114" Type="http://schemas.openxmlformats.org/officeDocument/2006/relationships/image" Target="media/image8.png"/><Relationship Id="rId119" Type="http://schemas.openxmlformats.org/officeDocument/2006/relationships/header" Target="header33.xml"/><Relationship Id="rId127" Type="http://schemas.openxmlformats.org/officeDocument/2006/relationships/hyperlink" Target="https://homehealthcahps.org/" TargetMode="Externa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yperlink" Target="https://homehealthcahps.org/" TargetMode="External"/><Relationship Id="rId52" Type="http://schemas.openxmlformats.org/officeDocument/2006/relationships/footer" Target="footer10.xml"/><Relationship Id="rId60" Type="http://schemas.openxmlformats.org/officeDocument/2006/relationships/hyperlink" Target="https://homehealthcahps.org/Portals/0/Model_QAP.pdf" TargetMode="External"/><Relationship Id="rId65" Type="http://schemas.openxmlformats.org/officeDocument/2006/relationships/footer" Target="footer11.xml"/><Relationship Id="rId73" Type="http://schemas.openxmlformats.org/officeDocument/2006/relationships/footer" Target="footer12.xml"/><Relationship Id="rId78" Type="http://schemas.openxmlformats.org/officeDocument/2006/relationships/hyperlink" Target="https://homehealthcahps.org/Survey-and-Protocols/Survey-Materials" TargetMode="External"/><Relationship Id="rId81" Type="http://schemas.openxmlformats.org/officeDocument/2006/relationships/hyperlink" Target="https://homehealthcahps.org/Survey-and-Protocols/Survey-Materials" TargetMode="External"/><Relationship Id="rId86" Type="http://schemas.openxmlformats.org/officeDocument/2006/relationships/hyperlink" Target="mailto:hhcahps@rti.org" TargetMode="External"/><Relationship Id="rId94" Type="http://schemas.openxmlformats.org/officeDocument/2006/relationships/hyperlink" Target="https://homehealthcahps.org/Survey-and-Protocols/Survey-Materials" TargetMode="External"/><Relationship Id="rId99" Type="http://schemas.openxmlformats.org/officeDocument/2006/relationships/header" Target="header23.xml"/><Relationship Id="rId101" Type="http://schemas.openxmlformats.org/officeDocument/2006/relationships/footer" Target="footer15.xml"/><Relationship Id="rId122" Type="http://schemas.openxmlformats.org/officeDocument/2006/relationships/header" Target="header34.xml"/><Relationship Id="rId130" Type="http://schemas.openxmlformats.org/officeDocument/2006/relationships/hyperlink" Target="https://homehealthcahps.org/" TargetMode="External"/><Relationship Id="rId135" Type="http://schemas.openxmlformats.org/officeDocument/2006/relationships/hyperlink" Target="https://homehealthcahps.org/Data-Submission/Data-Submission-Resources" TargetMode="External"/><Relationship Id="rId143" Type="http://schemas.openxmlformats.org/officeDocument/2006/relationships/header" Target="header37.xml"/><Relationship Id="rId148" Type="http://schemas.openxmlformats.org/officeDocument/2006/relationships/hyperlink" Target="https://homehealthcahps.org/Portals/0/Model_QAP.pdf" TargetMode="External"/><Relationship Id="rId151" Type="http://schemas.openxmlformats.org/officeDocument/2006/relationships/header" Target="header40.xml"/><Relationship Id="rId156" Type="http://schemas.openxmlformats.org/officeDocument/2006/relationships/hyperlink" Target="https://homehealthcahps.org/Survey-and-Protocols/Survey-Materials" TargetMode="External"/><Relationship Id="rId164" Type="http://schemas.openxmlformats.org/officeDocument/2006/relationships/header" Target="header44.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9.xml"/><Relationship Id="rId109" Type="http://schemas.openxmlformats.org/officeDocument/2006/relationships/header" Target="header28.xml"/><Relationship Id="rId34" Type="http://schemas.openxmlformats.org/officeDocument/2006/relationships/hyperlink" Target="https://homehealthcahps.org/Data-Submission/Data-Submission-Resources" TargetMode="External"/><Relationship Id="rId50" Type="http://schemas.openxmlformats.org/officeDocument/2006/relationships/header" Target="header13.xml"/><Relationship Id="rId55" Type="http://schemas.openxmlformats.org/officeDocument/2006/relationships/hyperlink" Target="https://homehealthcahps.org/Portals/0/Docs/HHAResponsibilities_and_FAQs_List.pdf" TargetMode="External"/><Relationship Id="rId76" Type="http://schemas.openxmlformats.org/officeDocument/2006/relationships/footer" Target="footer14.xml"/><Relationship Id="rId97" Type="http://schemas.openxmlformats.org/officeDocument/2006/relationships/hyperlink" Target="https://homehealthcahps.org/Survey-and-Protocols/Survey-Materials" TargetMode="External"/><Relationship Id="rId104" Type="http://schemas.openxmlformats.org/officeDocument/2006/relationships/footer" Target="footer17.xml"/><Relationship Id="rId120" Type="http://schemas.openxmlformats.org/officeDocument/2006/relationships/footer" Target="footer18.xml"/><Relationship Id="rId125" Type="http://schemas.openxmlformats.org/officeDocument/2006/relationships/image" Target="media/image12.png"/><Relationship Id="rId141" Type="http://schemas.openxmlformats.org/officeDocument/2006/relationships/footer" Target="footer21.xml"/><Relationship Id="rId146" Type="http://schemas.openxmlformats.org/officeDocument/2006/relationships/header" Target="header38.xml"/><Relationship Id="rId167" Type="http://schemas.openxmlformats.org/officeDocument/2006/relationships/header" Target="header45.xml"/><Relationship Id="rId7" Type="http://schemas.openxmlformats.org/officeDocument/2006/relationships/settings" Target="settings.xml"/><Relationship Id="rId71" Type="http://schemas.openxmlformats.org/officeDocument/2006/relationships/header" Target="header19.xml"/><Relationship Id="rId92" Type="http://schemas.openxmlformats.org/officeDocument/2006/relationships/image" Target="media/image5.png"/><Relationship Id="rId162" Type="http://schemas.openxmlformats.org/officeDocument/2006/relationships/hyperlink" Target="https://homehealthcahps.org/Survey-and-Protocols/Survey-Materials"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footer" Target="footer4.xml"/><Relationship Id="rId40" Type="http://schemas.openxmlformats.org/officeDocument/2006/relationships/hyperlink" Target="https://www.medicare.gov/care-compare/" TargetMode="External"/><Relationship Id="rId45" Type="http://schemas.openxmlformats.org/officeDocument/2006/relationships/hyperlink" Target="https://www.medicare.gov/care-compare/" TargetMode="External"/><Relationship Id="rId66" Type="http://schemas.openxmlformats.org/officeDocument/2006/relationships/header" Target="header18.xml"/><Relationship Id="rId87" Type="http://schemas.openxmlformats.org/officeDocument/2006/relationships/hyperlink" Target="https://homehealthcahps.org/Survey-and-Protocols/Survey-Materials" TargetMode="External"/><Relationship Id="rId110" Type="http://schemas.openxmlformats.org/officeDocument/2006/relationships/header" Target="header29.xml"/><Relationship Id="rId115" Type="http://schemas.openxmlformats.org/officeDocument/2006/relationships/image" Target="media/image9.png"/><Relationship Id="rId131" Type="http://schemas.openxmlformats.org/officeDocument/2006/relationships/hyperlink" Target="https://homehealthcahps.org/Data-Submission/Data-Submission-Resources" TargetMode="External"/><Relationship Id="rId136" Type="http://schemas.openxmlformats.org/officeDocument/2006/relationships/hyperlink" Target="https://homehealthcahps.org/Survey-and-Protocols/Survey-Materials" TargetMode="External"/><Relationship Id="rId157" Type="http://schemas.openxmlformats.org/officeDocument/2006/relationships/hyperlink" Target="https://homehealthcahps.org/Survey-and-Protocols/Survey-Materials" TargetMode="External"/><Relationship Id="rId61" Type="http://schemas.openxmlformats.org/officeDocument/2006/relationships/hyperlink" Target="https://homehealthcahps.org/Survey-and-Protocols/Survey-Materials" TargetMode="External"/><Relationship Id="rId82" Type="http://schemas.openxmlformats.org/officeDocument/2006/relationships/hyperlink" Target="https://homehealthcahps.org/Survey-and-Protocols/Survey-Materials" TargetMode="External"/><Relationship Id="rId152" Type="http://schemas.openxmlformats.org/officeDocument/2006/relationships/hyperlink" Target="https://www.medicare.gov/care-compare/" TargetMode="External"/><Relationship Id="rId19" Type="http://schemas.openxmlformats.org/officeDocument/2006/relationships/hyperlink" Target="https://homehealthcahps.org/" TargetMode="External"/><Relationship Id="rId14" Type="http://schemas.openxmlformats.org/officeDocument/2006/relationships/header" Target="header2.xm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hyperlink" Target="https://homehealthcahps.org/For-HHAs/HHCAHPS-Fact-Sheet" TargetMode="External"/><Relationship Id="rId77" Type="http://schemas.openxmlformats.org/officeDocument/2006/relationships/hyperlink" Target="mailto:hhcahps@rti.org" TargetMode="External"/><Relationship Id="rId100" Type="http://schemas.openxmlformats.org/officeDocument/2006/relationships/header" Target="header24.xml"/><Relationship Id="rId105" Type="http://schemas.openxmlformats.org/officeDocument/2006/relationships/hyperlink" Target="https://homehealthcahps.org/Survey-and-Protocols/Survey-Materials" TargetMode="External"/><Relationship Id="rId126" Type="http://schemas.openxmlformats.org/officeDocument/2006/relationships/hyperlink" Target="https://homehealthcahps.org/" TargetMode="External"/><Relationship Id="rId147" Type="http://schemas.openxmlformats.org/officeDocument/2006/relationships/header" Target="header39.xml"/><Relationship Id="rId168" Type="http://schemas.openxmlformats.org/officeDocument/2006/relationships/footer" Target="footer25.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eader" Target="header20.xml"/><Relationship Id="rId93" Type="http://schemas.openxmlformats.org/officeDocument/2006/relationships/hyperlink" Target="https://homehealthcahps.org/Survey-and-Protocols/Survey-Materials" TargetMode="External"/><Relationship Id="rId98" Type="http://schemas.openxmlformats.org/officeDocument/2006/relationships/hyperlink" Target="https://homehealthcahps.org/Survey-and-Protocols/Survey-Materials" TargetMode="External"/><Relationship Id="rId121" Type="http://schemas.openxmlformats.org/officeDocument/2006/relationships/footer" Target="footer19.xml"/><Relationship Id="rId142" Type="http://schemas.openxmlformats.org/officeDocument/2006/relationships/footer" Target="footer22.xml"/><Relationship Id="rId163" Type="http://schemas.openxmlformats.org/officeDocument/2006/relationships/header" Target="header43.xm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hyperlink" Target="https://homehealthcahps.org/" TargetMode="External"/><Relationship Id="rId67" Type="http://schemas.openxmlformats.org/officeDocument/2006/relationships/hyperlink" Target="https://homehealthcahps.org/Survey-and-Protocols/Survey-Materials" TargetMode="External"/><Relationship Id="rId116" Type="http://schemas.openxmlformats.org/officeDocument/2006/relationships/image" Target="media/image10.png"/><Relationship Id="rId137" Type="http://schemas.openxmlformats.org/officeDocument/2006/relationships/image" Target="media/image14.png"/><Relationship Id="rId158" Type="http://schemas.openxmlformats.org/officeDocument/2006/relationships/hyperlink" Target="https://homehealthcahps.org/Survey-and-Protocols/Survey-Materials" TargetMode="External"/><Relationship Id="rId20" Type="http://schemas.openxmlformats.org/officeDocument/2006/relationships/image" Target="media/image2.png"/><Relationship Id="rId41" Type="http://schemas.openxmlformats.org/officeDocument/2006/relationships/hyperlink" Target="https://homehealthcahps.org/Survey-and-Protocols/Survey-Materials" TargetMode="External"/><Relationship Id="rId62" Type="http://schemas.openxmlformats.org/officeDocument/2006/relationships/hyperlink" Target="https://homehealthcahps.org/Forms-for-Vendors/Minimum-Business-Requirements" TargetMode="External"/><Relationship Id="rId83" Type="http://schemas.openxmlformats.org/officeDocument/2006/relationships/hyperlink" Target="https://homehealthcahps.org/Survey-and-Protocols/Survey-Materials" TargetMode="External"/><Relationship Id="rId88" Type="http://schemas.openxmlformats.org/officeDocument/2006/relationships/hyperlink" Target="https://homehealthcahps.org/Survey-and-Protocols/Survey-Materials" TargetMode="External"/><Relationship Id="rId111" Type="http://schemas.openxmlformats.org/officeDocument/2006/relationships/header" Target="header30.xml"/><Relationship Id="rId132" Type="http://schemas.openxmlformats.org/officeDocument/2006/relationships/hyperlink" Target="mailto:hhcahps@rti.org" TargetMode="External"/><Relationship Id="rId153" Type="http://schemas.openxmlformats.org/officeDocument/2006/relationships/hyperlink" Target="https://www.medicare.gov/care-compare/"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www.aapor.org/Standards-Ethics/Institutional-Review-Boards/" TargetMode="External"/><Relationship Id="rId1" Type="http://schemas.openxmlformats.org/officeDocument/2006/relationships/hyperlink" Target="https://www.cms.hhs.gov/HomeHealthQualityI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BCC68-AD51-4A69-8D1D-DFDE9AFCF1FE}">
  <ds:schemaRefs>
    <ds:schemaRef ds:uri="http://schemas.openxmlformats.org/officeDocument/2006/bibliography"/>
  </ds:schemaRefs>
</ds:datastoreItem>
</file>

<file path=customXml/itemProps2.xml><?xml version="1.0" encoding="utf-8"?>
<ds:datastoreItem xmlns:ds="http://schemas.openxmlformats.org/officeDocument/2006/customXml" ds:itemID="{88012005-00FD-4037-8522-1098B9BFDF16}">
  <ds:schemaRefs>
    <ds:schemaRef ds:uri="http://schemas.microsoft.com/sharepoint/v3/contenttype/forms"/>
  </ds:schemaRefs>
</ds:datastoreItem>
</file>

<file path=customXml/itemProps3.xml><?xml version="1.0" encoding="utf-8"?>
<ds:datastoreItem xmlns:ds="http://schemas.openxmlformats.org/officeDocument/2006/customXml" ds:itemID="{930EAFFE-AFEF-4F26-9637-1E3EE8B5F66A}"/>
</file>

<file path=customXml/itemProps4.xml><?xml version="1.0" encoding="utf-8"?>
<ds:datastoreItem xmlns:ds="http://schemas.openxmlformats.org/officeDocument/2006/customXml" ds:itemID="{29C23DD1-1859-415B-B647-FC692D7C6E9E}">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147</Pages>
  <Words>50359</Words>
  <Characters>287048</Characters>
  <Application>Microsoft Office Word</Application>
  <DocSecurity>0</DocSecurity>
  <Lines>2392</Lines>
  <Paragraphs>673</Paragraphs>
  <ScaleCrop>false</ScaleCrop>
  <HeadingPairs>
    <vt:vector size="2" baseType="variant">
      <vt:variant>
        <vt:lpstr>Title</vt:lpstr>
      </vt:variant>
      <vt:variant>
        <vt:i4>1</vt:i4>
      </vt:variant>
    </vt:vector>
  </HeadingPairs>
  <TitlesOfParts>
    <vt:vector size="1" baseType="lpstr">
      <vt:lpstr>HHCAHPS Survey Protocols and Guidelines Manual, Version 18.0</vt:lpstr>
    </vt:vector>
  </TitlesOfParts>
  <Company/>
  <LinksUpToDate>false</LinksUpToDate>
  <CharactersWithSpaces>336734</CharactersWithSpaces>
  <SharedDoc>false</SharedDoc>
  <HLinks>
    <vt:vector size="1206" baseType="variant">
      <vt:variant>
        <vt:i4>4390932</vt:i4>
      </vt:variant>
      <vt:variant>
        <vt:i4>966</vt:i4>
      </vt:variant>
      <vt:variant>
        <vt:i4>0</vt:i4>
      </vt:variant>
      <vt:variant>
        <vt:i4>5</vt:i4>
      </vt:variant>
      <vt:variant>
        <vt:lpwstr>https://homehealthcahps.org/Survey-and-Protocols/Survey-Materials</vt:lpwstr>
      </vt:variant>
      <vt:variant>
        <vt:lpwstr/>
      </vt:variant>
      <vt:variant>
        <vt:i4>3211356</vt:i4>
      </vt:variant>
      <vt:variant>
        <vt:i4>963</vt:i4>
      </vt:variant>
      <vt:variant>
        <vt:i4>0</vt:i4>
      </vt:variant>
      <vt:variant>
        <vt:i4>5</vt:i4>
      </vt:variant>
      <vt:variant>
        <vt:lpwstr>https://homehealthcahps.org/Portals/0/Model_QAP.pdf?ver=tQrZlFHqiPoCe2Y-T35aiw%3d%3d</vt:lpwstr>
      </vt:variant>
      <vt:variant>
        <vt:lpwstr/>
      </vt:variant>
      <vt:variant>
        <vt:i4>458847</vt:i4>
      </vt:variant>
      <vt:variant>
        <vt:i4>960</vt:i4>
      </vt:variant>
      <vt:variant>
        <vt:i4>0</vt:i4>
      </vt:variant>
      <vt:variant>
        <vt:i4>5</vt:i4>
      </vt:variant>
      <vt:variant>
        <vt:lpwstr>https://homehealthcahps.org/Data-Submission/Data-Submission-Resources</vt:lpwstr>
      </vt:variant>
      <vt:variant>
        <vt:lpwstr/>
      </vt:variant>
      <vt:variant>
        <vt:i4>4390932</vt:i4>
      </vt:variant>
      <vt:variant>
        <vt:i4>957</vt:i4>
      </vt:variant>
      <vt:variant>
        <vt:i4>0</vt:i4>
      </vt:variant>
      <vt:variant>
        <vt:i4>5</vt:i4>
      </vt:variant>
      <vt:variant>
        <vt:lpwstr>https://homehealthcahps.org/Survey-and-Protocols/Survey-Materials</vt:lpwstr>
      </vt:variant>
      <vt:variant>
        <vt:lpwstr/>
      </vt:variant>
      <vt:variant>
        <vt:i4>4390932</vt:i4>
      </vt:variant>
      <vt:variant>
        <vt:i4>954</vt:i4>
      </vt:variant>
      <vt:variant>
        <vt:i4>0</vt:i4>
      </vt:variant>
      <vt:variant>
        <vt:i4>5</vt:i4>
      </vt:variant>
      <vt:variant>
        <vt:lpwstr>https://homehealthcahps.org/Survey-and-Protocols/Survey-Materials</vt:lpwstr>
      </vt:variant>
      <vt:variant>
        <vt:lpwstr/>
      </vt:variant>
      <vt:variant>
        <vt:i4>4390932</vt:i4>
      </vt:variant>
      <vt:variant>
        <vt:i4>951</vt:i4>
      </vt:variant>
      <vt:variant>
        <vt:i4>0</vt:i4>
      </vt:variant>
      <vt:variant>
        <vt:i4>5</vt:i4>
      </vt:variant>
      <vt:variant>
        <vt:lpwstr>https://homehealthcahps.org/Survey-and-Protocols/Survey-Materials</vt:lpwstr>
      </vt:variant>
      <vt:variant>
        <vt:lpwstr/>
      </vt:variant>
      <vt:variant>
        <vt:i4>3014783</vt:i4>
      </vt:variant>
      <vt:variant>
        <vt:i4>948</vt:i4>
      </vt:variant>
      <vt:variant>
        <vt:i4>0</vt:i4>
      </vt:variant>
      <vt:variant>
        <vt:i4>5</vt:i4>
      </vt:variant>
      <vt:variant>
        <vt:lpwstr>https://data.cms.gov/provider-data/</vt:lpwstr>
      </vt:variant>
      <vt:variant>
        <vt:lpwstr/>
      </vt:variant>
      <vt:variant>
        <vt:i4>3080248</vt:i4>
      </vt:variant>
      <vt:variant>
        <vt:i4>945</vt:i4>
      </vt:variant>
      <vt:variant>
        <vt:i4>0</vt:i4>
      </vt:variant>
      <vt:variant>
        <vt:i4>5</vt:i4>
      </vt:variant>
      <vt:variant>
        <vt:lpwstr>https://www.medicare.gov/care-compare/</vt:lpwstr>
      </vt:variant>
      <vt:variant>
        <vt:lpwstr/>
      </vt:variant>
      <vt:variant>
        <vt:i4>3080248</vt:i4>
      </vt:variant>
      <vt:variant>
        <vt:i4>942</vt:i4>
      </vt:variant>
      <vt:variant>
        <vt:i4>0</vt:i4>
      </vt:variant>
      <vt:variant>
        <vt:i4>5</vt:i4>
      </vt:variant>
      <vt:variant>
        <vt:lpwstr>https://www.medicare.gov/care-compare/</vt:lpwstr>
      </vt:variant>
      <vt:variant>
        <vt:lpwstr/>
      </vt:variant>
      <vt:variant>
        <vt:i4>6357083</vt:i4>
      </vt:variant>
      <vt:variant>
        <vt:i4>939</vt:i4>
      </vt:variant>
      <vt:variant>
        <vt:i4>0</vt:i4>
      </vt:variant>
      <vt:variant>
        <vt:i4>5</vt:i4>
      </vt:variant>
      <vt:variant>
        <vt:lpwstr>mailto:hhcahps@rti.org</vt:lpwstr>
      </vt:variant>
      <vt:variant>
        <vt:lpwstr/>
      </vt:variant>
      <vt:variant>
        <vt:i4>1114236</vt:i4>
      </vt:variant>
      <vt:variant>
        <vt:i4>936</vt:i4>
      </vt:variant>
      <vt:variant>
        <vt:i4>0</vt:i4>
      </vt:variant>
      <vt:variant>
        <vt:i4>5</vt:i4>
      </vt:variant>
      <vt:variant>
        <vt:lpwstr>https://homehealthcahps.org/Portals/0/Model_QAP.pdf</vt:lpwstr>
      </vt:variant>
      <vt:variant>
        <vt:lpwstr/>
      </vt:variant>
      <vt:variant>
        <vt:i4>1114236</vt:i4>
      </vt:variant>
      <vt:variant>
        <vt:i4>933</vt:i4>
      </vt:variant>
      <vt:variant>
        <vt:i4>0</vt:i4>
      </vt:variant>
      <vt:variant>
        <vt:i4>5</vt:i4>
      </vt:variant>
      <vt:variant>
        <vt:lpwstr>https://homehealthcahps.org/Portals/0/Model_QAP.pdf</vt:lpwstr>
      </vt:variant>
      <vt:variant>
        <vt:lpwstr/>
      </vt:variant>
      <vt:variant>
        <vt:i4>3080248</vt:i4>
      </vt:variant>
      <vt:variant>
        <vt:i4>930</vt:i4>
      </vt:variant>
      <vt:variant>
        <vt:i4>0</vt:i4>
      </vt:variant>
      <vt:variant>
        <vt:i4>5</vt:i4>
      </vt:variant>
      <vt:variant>
        <vt:lpwstr>https://www.medicare.gov/care-compare/</vt:lpwstr>
      </vt:variant>
      <vt:variant>
        <vt:lpwstr/>
      </vt:variant>
      <vt:variant>
        <vt:i4>458847</vt:i4>
      </vt:variant>
      <vt:variant>
        <vt:i4>927</vt:i4>
      </vt:variant>
      <vt:variant>
        <vt:i4>0</vt:i4>
      </vt:variant>
      <vt:variant>
        <vt:i4>5</vt:i4>
      </vt:variant>
      <vt:variant>
        <vt:lpwstr>https://homehealthcahps.org/Data-Submission/Data-Submission-Resources</vt:lpwstr>
      </vt:variant>
      <vt:variant>
        <vt:lpwstr/>
      </vt:variant>
      <vt:variant>
        <vt:i4>458847</vt:i4>
      </vt:variant>
      <vt:variant>
        <vt:i4>924</vt:i4>
      </vt:variant>
      <vt:variant>
        <vt:i4>0</vt:i4>
      </vt:variant>
      <vt:variant>
        <vt:i4>5</vt:i4>
      </vt:variant>
      <vt:variant>
        <vt:lpwstr>https://homehealthcahps.org/Data-Submission/Data-Submission-Resources</vt:lpwstr>
      </vt:variant>
      <vt:variant>
        <vt:lpwstr/>
      </vt:variant>
      <vt:variant>
        <vt:i4>4390932</vt:i4>
      </vt:variant>
      <vt:variant>
        <vt:i4>921</vt:i4>
      </vt:variant>
      <vt:variant>
        <vt:i4>0</vt:i4>
      </vt:variant>
      <vt:variant>
        <vt:i4>5</vt:i4>
      </vt:variant>
      <vt:variant>
        <vt:lpwstr>https://homehealthcahps.org/Survey-and-Protocols/Survey-Materials</vt:lpwstr>
      </vt:variant>
      <vt:variant>
        <vt:lpwstr/>
      </vt:variant>
      <vt:variant>
        <vt:i4>458847</vt:i4>
      </vt:variant>
      <vt:variant>
        <vt:i4>918</vt:i4>
      </vt:variant>
      <vt:variant>
        <vt:i4>0</vt:i4>
      </vt:variant>
      <vt:variant>
        <vt:i4>5</vt:i4>
      </vt:variant>
      <vt:variant>
        <vt:lpwstr>https://homehealthcahps.org/Data-Submission/Data-Submission-Resources</vt:lpwstr>
      </vt:variant>
      <vt:variant>
        <vt:lpwstr/>
      </vt:variant>
      <vt:variant>
        <vt:i4>458847</vt:i4>
      </vt:variant>
      <vt:variant>
        <vt:i4>915</vt:i4>
      </vt:variant>
      <vt:variant>
        <vt:i4>0</vt:i4>
      </vt:variant>
      <vt:variant>
        <vt:i4>5</vt:i4>
      </vt:variant>
      <vt:variant>
        <vt:lpwstr>https://homehealthcahps.org/Data-Submission/Data-Submission-Resources</vt:lpwstr>
      </vt:variant>
      <vt:variant>
        <vt:lpwstr/>
      </vt:variant>
      <vt:variant>
        <vt:i4>458847</vt:i4>
      </vt:variant>
      <vt:variant>
        <vt:i4>912</vt:i4>
      </vt:variant>
      <vt:variant>
        <vt:i4>0</vt:i4>
      </vt:variant>
      <vt:variant>
        <vt:i4>5</vt:i4>
      </vt:variant>
      <vt:variant>
        <vt:lpwstr>https://homehealthcahps.org/Data-Submission/Data-Submission-Resources</vt:lpwstr>
      </vt:variant>
      <vt:variant>
        <vt:lpwstr/>
      </vt:variant>
      <vt:variant>
        <vt:i4>6357083</vt:i4>
      </vt:variant>
      <vt:variant>
        <vt:i4>909</vt:i4>
      </vt:variant>
      <vt:variant>
        <vt:i4>0</vt:i4>
      </vt:variant>
      <vt:variant>
        <vt:i4>5</vt:i4>
      </vt:variant>
      <vt:variant>
        <vt:lpwstr>mailto:hhcahps@rti.org</vt:lpwstr>
      </vt:variant>
      <vt:variant>
        <vt:lpwstr/>
      </vt:variant>
      <vt:variant>
        <vt:i4>458847</vt:i4>
      </vt:variant>
      <vt:variant>
        <vt:i4>906</vt:i4>
      </vt:variant>
      <vt:variant>
        <vt:i4>0</vt:i4>
      </vt:variant>
      <vt:variant>
        <vt:i4>5</vt:i4>
      </vt:variant>
      <vt:variant>
        <vt:lpwstr>https://homehealthcahps.org/Data-Submission/Data-Submission-Resources</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1572936</vt:i4>
      </vt:variant>
      <vt:variant>
        <vt:i4>897</vt:i4>
      </vt:variant>
      <vt:variant>
        <vt:i4>0</vt:i4>
      </vt:variant>
      <vt:variant>
        <vt:i4>5</vt:i4>
      </vt:variant>
      <vt:variant>
        <vt:lpwstr>https://homehealthcahps.org/</vt:lpwstr>
      </vt:variant>
      <vt:variant>
        <vt:lpwstr/>
      </vt:variant>
      <vt:variant>
        <vt:i4>1572936</vt:i4>
      </vt:variant>
      <vt:variant>
        <vt:i4>894</vt:i4>
      </vt:variant>
      <vt:variant>
        <vt:i4>0</vt:i4>
      </vt:variant>
      <vt:variant>
        <vt:i4>5</vt:i4>
      </vt:variant>
      <vt:variant>
        <vt:lpwstr>https://homehealthcahps.org/</vt:lpwstr>
      </vt:variant>
      <vt:variant>
        <vt:lpwstr/>
      </vt:variant>
      <vt:variant>
        <vt:i4>1572936</vt:i4>
      </vt:variant>
      <vt:variant>
        <vt:i4>891</vt:i4>
      </vt:variant>
      <vt:variant>
        <vt:i4>0</vt:i4>
      </vt:variant>
      <vt:variant>
        <vt:i4>5</vt:i4>
      </vt:variant>
      <vt:variant>
        <vt:lpwstr>https://homehealthcahps.org/</vt:lpwstr>
      </vt:variant>
      <vt:variant>
        <vt:lpwstr/>
      </vt:variant>
      <vt:variant>
        <vt:i4>6357083</vt:i4>
      </vt:variant>
      <vt:variant>
        <vt:i4>888</vt:i4>
      </vt:variant>
      <vt:variant>
        <vt:i4>0</vt:i4>
      </vt:variant>
      <vt:variant>
        <vt:i4>5</vt:i4>
      </vt:variant>
      <vt:variant>
        <vt:lpwstr>mailto:hhcahps@rti.org</vt:lpwstr>
      </vt:variant>
      <vt:variant>
        <vt:lpwstr/>
      </vt:variant>
      <vt:variant>
        <vt:i4>4390932</vt:i4>
      </vt:variant>
      <vt:variant>
        <vt:i4>885</vt:i4>
      </vt:variant>
      <vt:variant>
        <vt:i4>0</vt:i4>
      </vt:variant>
      <vt:variant>
        <vt:i4>5</vt:i4>
      </vt:variant>
      <vt:variant>
        <vt:lpwstr>https://homehealthcahps.org/Survey-and-Protocols/Survey-Materials</vt:lpwstr>
      </vt:variant>
      <vt:variant>
        <vt:lpwstr/>
      </vt:variant>
      <vt:variant>
        <vt:i4>4390932</vt:i4>
      </vt:variant>
      <vt:variant>
        <vt:i4>882</vt:i4>
      </vt:variant>
      <vt:variant>
        <vt:i4>0</vt:i4>
      </vt:variant>
      <vt:variant>
        <vt:i4>5</vt:i4>
      </vt:variant>
      <vt:variant>
        <vt:lpwstr>https://homehealthcahps.org/Survey-and-Protocols/Survey-Materials</vt:lpwstr>
      </vt:variant>
      <vt:variant>
        <vt:lpwstr/>
      </vt:variant>
      <vt:variant>
        <vt:i4>4390932</vt:i4>
      </vt:variant>
      <vt:variant>
        <vt:i4>879</vt:i4>
      </vt:variant>
      <vt:variant>
        <vt:i4>0</vt:i4>
      </vt:variant>
      <vt:variant>
        <vt:i4>5</vt:i4>
      </vt:variant>
      <vt:variant>
        <vt:lpwstr>https://homehealthcahps.org/Survey-and-Protocols/Survey-Materials</vt:lpwstr>
      </vt:variant>
      <vt:variant>
        <vt:lpwstr/>
      </vt:variant>
      <vt:variant>
        <vt:i4>3473451</vt:i4>
      </vt:variant>
      <vt:variant>
        <vt:i4>876</vt:i4>
      </vt:variant>
      <vt:variant>
        <vt:i4>0</vt:i4>
      </vt:variant>
      <vt:variant>
        <vt:i4>5</vt:i4>
      </vt:variant>
      <vt:variant>
        <vt:lpwstr>https://www.aapor.org/</vt:lpwstr>
      </vt:variant>
      <vt:variant>
        <vt:lpwstr/>
      </vt:variant>
      <vt:variant>
        <vt:i4>4390932</vt:i4>
      </vt:variant>
      <vt:variant>
        <vt:i4>873</vt:i4>
      </vt:variant>
      <vt:variant>
        <vt:i4>0</vt:i4>
      </vt:variant>
      <vt:variant>
        <vt:i4>5</vt:i4>
      </vt:variant>
      <vt:variant>
        <vt:lpwstr>https://homehealthcahps.org/Survey-and-Protocols/Survey-Materials</vt:lpwstr>
      </vt:variant>
      <vt:variant>
        <vt:lpwstr/>
      </vt:variant>
      <vt:variant>
        <vt:i4>4390932</vt:i4>
      </vt:variant>
      <vt:variant>
        <vt:i4>870</vt:i4>
      </vt:variant>
      <vt:variant>
        <vt:i4>0</vt:i4>
      </vt:variant>
      <vt:variant>
        <vt:i4>5</vt:i4>
      </vt:variant>
      <vt:variant>
        <vt:lpwstr>https://homehealthcahps.org/Survey-and-Protocols/Survey-Materials</vt:lpwstr>
      </vt:variant>
      <vt:variant>
        <vt:lpwstr/>
      </vt:variant>
      <vt:variant>
        <vt:i4>4390932</vt:i4>
      </vt:variant>
      <vt:variant>
        <vt:i4>867</vt:i4>
      </vt:variant>
      <vt:variant>
        <vt:i4>0</vt:i4>
      </vt:variant>
      <vt:variant>
        <vt:i4>5</vt:i4>
      </vt:variant>
      <vt:variant>
        <vt:lpwstr>https://homehealthcahps.org/Survey-and-Protocols/Survey-Materials</vt:lpwstr>
      </vt:variant>
      <vt:variant>
        <vt:lpwstr/>
      </vt:variant>
      <vt:variant>
        <vt:i4>4390932</vt:i4>
      </vt:variant>
      <vt:variant>
        <vt:i4>864</vt:i4>
      </vt:variant>
      <vt:variant>
        <vt:i4>0</vt:i4>
      </vt:variant>
      <vt:variant>
        <vt:i4>5</vt:i4>
      </vt:variant>
      <vt:variant>
        <vt:lpwstr>https://homehealthcahps.org/Survey-and-Protocols/Survey-Materials</vt:lpwstr>
      </vt:variant>
      <vt:variant>
        <vt:lpwstr/>
      </vt:variant>
      <vt:variant>
        <vt:i4>4522068</vt:i4>
      </vt:variant>
      <vt:variant>
        <vt:i4>861</vt:i4>
      </vt:variant>
      <vt:variant>
        <vt:i4>0</vt:i4>
      </vt:variant>
      <vt:variant>
        <vt:i4>5</vt:i4>
      </vt:variant>
      <vt:variant>
        <vt:lpwstr>https://www.fcc.gov/</vt:lpwstr>
      </vt:variant>
      <vt:variant>
        <vt:lpwstr/>
      </vt:variant>
      <vt:variant>
        <vt:i4>5374036</vt:i4>
      </vt:variant>
      <vt:variant>
        <vt:i4>858</vt:i4>
      </vt:variant>
      <vt:variant>
        <vt:i4>0</vt:i4>
      </vt:variant>
      <vt:variant>
        <vt:i4>5</vt:i4>
      </vt:variant>
      <vt:variant>
        <vt:lpwstr>https://www.ftc.gov/</vt:lpwstr>
      </vt:variant>
      <vt:variant>
        <vt:lpwstr/>
      </vt:variant>
      <vt:variant>
        <vt:i4>4390932</vt:i4>
      </vt:variant>
      <vt:variant>
        <vt:i4>855</vt:i4>
      </vt:variant>
      <vt:variant>
        <vt:i4>0</vt:i4>
      </vt:variant>
      <vt:variant>
        <vt:i4>5</vt:i4>
      </vt:variant>
      <vt:variant>
        <vt:lpwstr>https://homehealthcahps.org/Survey-and-Protocols/Survey-Materials</vt:lpwstr>
      </vt:variant>
      <vt:variant>
        <vt:lpwstr/>
      </vt:variant>
      <vt:variant>
        <vt:i4>4390932</vt:i4>
      </vt:variant>
      <vt:variant>
        <vt:i4>852</vt:i4>
      </vt:variant>
      <vt:variant>
        <vt:i4>0</vt:i4>
      </vt:variant>
      <vt:variant>
        <vt:i4>5</vt:i4>
      </vt:variant>
      <vt:variant>
        <vt:lpwstr>https://homehealthcahps.org/Survey-and-Protocols/Survey-Materials</vt:lpwstr>
      </vt:variant>
      <vt:variant>
        <vt:lpwstr/>
      </vt:variant>
      <vt:variant>
        <vt:i4>6357083</vt:i4>
      </vt:variant>
      <vt:variant>
        <vt:i4>849</vt:i4>
      </vt:variant>
      <vt:variant>
        <vt:i4>0</vt:i4>
      </vt:variant>
      <vt:variant>
        <vt:i4>5</vt:i4>
      </vt:variant>
      <vt:variant>
        <vt:lpwstr>mailto:hhcahps@rti.org</vt:lpwstr>
      </vt:variant>
      <vt:variant>
        <vt:lpwstr/>
      </vt:variant>
      <vt:variant>
        <vt:i4>4390932</vt:i4>
      </vt:variant>
      <vt:variant>
        <vt:i4>846</vt:i4>
      </vt:variant>
      <vt:variant>
        <vt:i4>0</vt:i4>
      </vt:variant>
      <vt:variant>
        <vt:i4>5</vt:i4>
      </vt:variant>
      <vt:variant>
        <vt:lpwstr>https://homehealthcahps.org/Survey-and-Protocols/Survey-Materials</vt:lpwstr>
      </vt:variant>
      <vt:variant>
        <vt:lpwstr/>
      </vt:variant>
      <vt:variant>
        <vt:i4>4390932</vt:i4>
      </vt:variant>
      <vt:variant>
        <vt:i4>843</vt:i4>
      </vt:variant>
      <vt:variant>
        <vt:i4>0</vt:i4>
      </vt:variant>
      <vt:variant>
        <vt:i4>5</vt:i4>
      </vt:variant>
      <vt:variant>
        <vt:lpwstr>https://homehealthcahps.org/Survey-and-Protocols/Survey-Materials</vt:lpwstr>
      </vt:variant>
      <vt:variant>
        <vt:lpwstr/>
      </vt:variant>
      <vt:variant>
        <vt:i4>4390932</vt:i4>
      </vt:variant>
      <vt:variant>
        <vt:i4>840</vt:i4>
      </vt:variant>
      <vt:variant>
        <vt:i4>0</vt:i4>
      </vt:variant>
      <vt:variant>
        <vt:i4>5</vt:i4>
      </vt:variant>
      <vt:variant>
        <vt:lpwstr>https://homehealthcahps.org/Survey-and-Protocols/Survey-Materials</vt:lpwstr>
      </vt:variant>
      <vt:variant>
        <vt:lpwstr/>
      </vt:variant>
      <vt:variant>
        <vt:i4>4390932</vt:i4>
      </vt:variant>
      <vt:variant>
        <vt:i4>837</vt:i4>
      </vt:variant>
      <vt:variant>
        <vt:i4>0</vt:i4>
      </vt:variant>
      <vt:variant>
        <vt:i4>5</vt:i4>
      </vt:variant>
      <vt:variant>
        <vt:lpwstr>https://homehealthcahps.org/Survey-and-Protocols/Survey-Materials</vt:lpwstr>
      </vt:variant>
      <vt:variant>
        <vt:lpwstr/>
      </vt:variant>
      <vt:variant>
        <vt:i4>4390932</vt:i4>
      </vt:variant>
      <vt:variant>
        <vt:i4>834</vt:i4>
      </vt:variant>
      <vt:variant>
        <vt:i4>0</vt:i4>
      </vt:variant>
      <vt:variant>
        <vt:i4>5</vt:i4>
      </vt:variant>
      <vt:variant>
        <vt:lpwstr>https://homehealthcahps.org/Survey-and-Protocols/Survey-Materials</vt:lpwstr>
      </vt:variant>
      <vt:variant>
        <vt:lpwstr/>
      </vt:variant>
      <vt:variant>
        <vt:i4>4390932</vt:i4>
      </vt:variant>
      <vt:variant>
        <vt:i4>831</vt:i4>
      </vt:variant>
      <vt:variant>
        <vt:i4>0</vt:i4>
      </vt:variant>
      <vt:variant>
        <vt:i4>5</vt:i4>
      </vt:variant>
      <vt:variant>
        <vt:lpwstr>https://homehealthcahps.org/Survey-and-Protocols/Survey-Materials</vt:lpwstr>
      </vt:variant>
      <vt:variant>
        <vt:lpwstr/>
      </vt:variant>
      <vt:variant>
        <vt:i4>4390932</vt:i4>
      </vt:variant>
      <vt:variant>
        <vt:i4>828</vt:i4>
      </vt:variant>
      <vt:variant>
        <vt:i4>0</vt:i4>
      </vt:variant>
      <vt:variant>
        <vt:i4>5</vt:i4>
      </vt:variant>
      <vt:variant>
        <vt:lpwstr>https://homehealthcahps.org/Survey-and-Protocols/Survey-Materials</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3014712</vt:i4>
      </vt:variant>
      <vt:variant>
        <vt:i4>819</vt:i4>
      </vt:variant>
      <vt:variant>
        <vt:i4>0</vt:i4>
      </vt:variant>
      <vt:variant>
        <vt:i4>5</vt:i4>
      </vt:variant>
      <vt:variant>
        <vt:lpwstr>https://oig.hhs.gov/compliance/rat-stats/index.asp</vt:lpwstr>
      </vt:variant>
      <vt:variant>
        <vt:lpwstr/>
      </vt:variant>
      <vt:variant>
        <vt:i4>4390932</vt:i4>
      </vt:variant>
      <vt:variant>
        <vt:i4>816</vt:i4>
      </vt:variant>
      <vt:variant>
        <vt:i4>0</vt:i4>
      </vt:variant>
      <vt:variant>
        <vt:i4>5</vt:i4>
      </vt:variant>
      <vt:variant>
        <vt:lpwstr>https://homehealthcahps.org/Survey-and-Protocols/Survey-Materials</vt:lpwstr>
      </vt:variant>
      <vt:variant>
        <vt:lpwstr/>
      </vt:variant>
      <vt:variant>
        <vt:i4>6619260</vt:i4>
      </vt:variant>
      <vt:variant>
        <vt:i4>813</vt:i4>
      </vt:variant>
      <vt:variant>
        <vt:i4>0</vt:i4>
      </vt:variant>
      <vt:variant>
        <vt:i4>5</vt:i4>
      </vt:variant>
      <vt:variant>
        <vt:lpwstr>https://homehealthcahps.org/Forms-for-Vendors/Minimum-Business-Requirements</vt:lpwstr>
      </vt:variant>
      <vt:variant>
        <vt:lpwstr/>
      </vt:variant>
      <vt:variant>
        <vt:i4>4390932</vt:i4>
      </vt:variant>
      <vt:variant>
        <vt:i4>810</vt:i4>
      </vt:variant>
      <vt:variant>
        <vt:i4>0</vt:i4>
      </vt:variant>
      <vt:variant>
        <vt:i4>5</vt:i4>
      </vt:variant>
      <vt:variant>
        <vt:lpwstr>https://homehealthcahps.org/Survey-and-Protocols/Survey-Materials</vt:lpwstr>
      </vt:variant>
      <vt:variant>
        <vt:lpwstr/>
      </vt:variant>
      <vt:variant>
        <vt:i4>1114236</vt:i4>
      </vt:variant>
      <vt:variant>
        <vt:i4>807</vt:i4>
      </vt:variant>
      <vt:variant>
        <vt:i4>0</vt:i4>
      </vt:variant>
      <vt:variant>
        <vt:i4>5</vt:i4>
      </vt:variant>
      <vt:variant>
        <vt:lpwstr>https://homehealthcahps.org/Portals/0/Model_QAP.pdf</vt:lpwstr>
      </vt:variant>
      <vt:variant>
        <vt:lpwstr/>
      </vt:variant>
      <vt:variant>
        <vt:i4>6357083</vt:i4>
      </vt:variant>
      <vt:variant>
        <vt:i4>804</vt:i4>
      </vt:variant>
      <vt:variant>
        <vt:i4>0</vt:i4>
      </vt:variant>
      <vt:variant>
        <vt:i4>5</vt:i4>
      </vt:variant>
      <vt:variant>
        <vt:lpwstr>mailto:hhcahps@rti.org</vt:lpwstr>
      </vt:variant>
      <vt:variant>
        <vt:lpwstr/>
      </vt:variant>
      <vt:variant>
        <vt:i4>3407981</vt:i4>
      </vt:variant>
      <vt:variant>
        <vt:i4>801</vt:i4>
      </vt:variant>
      <vt:variant>
        <vt:i4>0</vt:i4>
      </vt:variant>
      <vt:variant>
        <vt:i4>5</vt:i4>
      </vt:variant>
      <vt:variant>
        <vt:lpwstr>https://homehealthcahps.org/Training/Training-Materials</vt:lpwstr>
      </vt:variant>
      <vt:variant>
        <vt:lpwstr/>
      </vt:variant>
      <vt:variant>
        <vt:i4>3407981</vt:i4>
      </vt:variant>
      <vt:variant>
        <vt:i4>798</vt:i4>
      </vt:variant>
      <vt:variant>
        <vt:i4>0</vt:i4>
      </vt:variant>
      <vt:variant>
        <vt:i4>5</vt:i4>
      </vt:variant>
      <vt:variant>
        <vt:lpwstr>https://homehealthcahps.org/Training/Training-Materials</vt:lpwstr>
      </vt:variant>
      <vt:variant>
        <vt:lpwstr/>
      </vt:variant>
      <vt:variant>
        <vt:i4>7602221</vt:i4>
      </vt:variant>
      <vt:variant>
        <vt:i4>795</vt:i4>
      </vt:variant>
      <vt:variant>
        <vt:i4>0</vt:i4>
      </vt:variant>
      <vt:variant>
        <vt:i4>5</vt:i4>
      </vt:variant>
      <vt:variant>
        <vt:lpwstr>https://homehealthcahps.org/For-HHAs/HHCAHPS-Fact-Sheet</vt:lpwstr>
      </vt:variant>
      <vt:variant>
        <vt:lpwstr/>
      </vt:variant>
      <vt:variant>
        <vt:i4>3407875</vt:i4>
      </vt:variant>
      <vt:variant>
        <vt:i4>792</vt:i4>
      </vt:variant>
      <vt:variant>
        <vt:i4>0</vt:i4>
      </vt:variant>
      <vt:variant>
        <vt:i4>5</vt:i4>
      </vt:variant>
      <vt:variant>
        <vt:lpwstr>https://homehealthcahps.org/Portals/0/Docs/HHAResponsibilities_and_FAQs_List.pdf</vt:lpwstr>
      </vt:variant>
      <vt:variant>
        <vt:lpwstr/>
      </vt:variant>
      <vt:variant>
        <vt:i4>5505096</vt:i4>
      </vt:variant>
      <vt:variant>
        <vt:i4>789</vt:i4>
      </vt:variant>
      <vt:variant>
        <vt:i4>0</vt:i4>
      </vt:variant>
      <vt:variant>
        <vt:i4>5</vt:i4>
      </vt:variant>
      <vt:variant>
        <vt:lpwstr>https://homehealthcahps.org/For-HHAs/Participation-Exemption-Request-Form</vt:lpwstr>
      </vt:variant>
      <vt:variant>
        <vt:lpwstr/>
      </vt:variant>
      <vt:variant>
        <vt:i4>3080248</vt:i4>
      </vt:variant>
      <vt:variant>
        <vt:i4>786</vt:i4>
      </vt:variant>
      <vt:variant>
        <vt:i4>0</vt:i4>
      </vt:variant>
      <vt:variant>
        <vt:i4>5</vt:i4>
      </vt:variant>
      <vt:variant>
        <vt:lpwstr>https://www.medicare.gov/care-compare/</vt:lpwstr>
      </vt:variant>
      <vt:variant>
        <vt:lpwstr/>
      </vt:variant>
      <vt:variant>
        <vt:i4>458847</vt:i4>
      </vt:variant>
      <vt:variant>
        <vt:i4>783</vt:i4>
      </vt:variant>
      <vt:variant>
        <vt:i4>0</vt:i4>
      </vt:variant>
      <vt:variant>
        <vt:i4>5</vt:i4>
      </vt:variant>
      <vt:variant>
        <vt:lpwstr>https://homehealthcahps.org/Data-Submission/Data-Submission-Resources</vt:lpwstr>
      </vt:variant>
      <vt:variant>
        <vt:lpwstr/>
      </vt:variant>
      <vt:variant>
        <vt:i4>1572936</vt:i4>
      </vt:variant>
      <vt:variant>
        <vt:i4>780</vt:i4>
      </vt:variant>
      <vt:variant>
        <vt:i4>0</vt:i4>
      </vt:variant>
      <vt:variant>
        <vt:i4>5</vt:i4>
      </vt:variant>
      <vt:variant>
        <vt:lpwstr>https://homehealthcahps.org/</vt:lpwstr>
      </vt:variant>
      <vt:variant>
        <vt:lpwstr/>
      </vt:variant>
      <vt:variant>
        <vt:i4>1572936</vt:i4>
      </vt:variant>
      <vt:variant>
        <vt:i4>777</vt:i4>
      </vt:variant>
      <vt:variant>
        <vt:i4>0</vt:i4>
      </vt:variant>
      <vt:variant>
        <vt:i4>5</vt:i4>
      </vt:variant>
      <vt:variant>
        <vt:lpwstr>https://homehealthcahps.org/</vt:lpwstr>
      </vt:variant>
      <vt:variant>
        <vt:lpwstr/>
      </vt:variant>
      <vt:variant>
        <vt:i4>5439512</vt:i4>
      </vt:variant>
      <vt:variant>
        <vt:i4>774</vt:i4>
      </vt:variant>
      <vt:variant>
        <vt:i4>0</vt:i4>
      </vt:variant>
      <vt:variant>
        <vt:i4>5</vt:i4>
      </vt:variant>
      <vt:variant>
        <vt:lpwstr>http://www.medicare.gov/care-compare/</vt:lpwstr>
      </vt:variant>
      <vt:variant>
        <vt:lpwstr/>
      </vt:variant>
      <vt:variant>
        <vt:i4>1572936</vt:i4>
      </vt:variant>
      <vt:variant>
        <vt:i4>771</vt:i4>
      </vt:variant>
      <vt:variant>
        <vt:i4>0</vt:i4>
      </vt:variant>
      <vt:variant>
        <vt:i4>5</vt:i4>
      </vt:variant>
      <vt:variant>
        <vt:lpwstr>https://homehealthcahps.org/</vt:lpwstr>
      </vt:variant>
      <vt:variant>
        <vt:lpwstr/>
      </vt:variant>
      <vt:variant>
        <vt:i4>5505096</vt:i4>
      </vt:variant>
      <vt:variant>
        <vt:i4>768</vt:i4>
      </vt:variant>
      <vt:variant>
        <vt:i4>0</vt:i4>
      </vt:variant>
      <vt:variant>
        <vt:i4>5</vt:i4>
      </vt:variant>
      <vt:variant>
        <vt:lpwstr>https://homehealthcahps.org/For-HHAs/Participation-Exemption-Request-Form</vt:lpwstr>
      </vt:variant>
      <vt:variant>
        <vt:lpwstr/>
      </vt:variant>
      <vt:variant>
        <vt:i4>1572936</vt:i4>
      </vt:variant>
      <vt:variant>
        <vt:i4>765</vt:i4>
      </vt:variant>
      <vt:variant>
        <vt:i4>0</vt:i4>
      </vt:variant>
      <vt:variant>
        <vt:i4>5</vt:i4>
      </vt:variant>
      <vt:variant>
        <vt:lpwstr>https://homehealthcahps.org/</vt:lpwstr>
      </vt:variant>
      <vt:variant>
        <vt:lpwstr/>
      </vt:variant>
      <vt:variant>
        <vt:i4>4390932</vt:i4>
      </vt:variant>
      <vt:variant>
        <vt:i4>762</vt:i4>
      </vt:variant>
      <vt:variant>
        <vt:i4>0</vt:i4>
      </vt:variant>
      <vt:variant>
        <vt:i4>5</vt:i4>
      </vt:variant>
      <vt:variant>
        <vt:lpwstr>https://homehealthcahps.org/Survey-and-Protocols/Survey-Materials</vt:lpwstr>
      </vt:variant>
      <vt:variant>
        <vt:lpwstr/>
      </vt:variant>
      <vt:variant>
        <vt:i4>5439512</vt:i4>
      </vt:variant>
      <vt:variant>
        <vt:i4>759</vt:i4>
      </vt:variant>
      <vt:variant>
        <vt:i4>0</vt:i4>
      </vt:variant>
      <vt:variant>
        <vt:i4>5</vt:i4>
      </vt:variant>
      <vt:variant>
        <vt:lpwstr>http://www.medicare.gov/care-compare/</vt:lpwstr>
      </vt:variant>
      <vt:variant>
        <vt:lpwstr/>
      </vt:variant>
      <vt:variant>
        <vt:i4>458847</vt:i4>
      </vt:variant>
      <vt:variant>
        <vt:i4>756</vt:i4>
      </vt:variant>
      <vt:variant>
        <vt:i4>0</vt:i4>
      </vt:variant>
      <vt:variant>
        <vt:i4>5</vt:i4>
      </vt:variant>
      <vt:variant>
        <vt:lpwstr>https://homehealthcahps.org/Data-Submission/Data-Submission-Resources</vt:lpwstr>
      </vt:variant>
      <vt:variant>
        <vt:lpwstr/>
      </vt:variant>
      <vt:variant>
        <vt:i4>1572936</vt:i4>
      </vt:variant>
      <vt:variant>
        <vt:i4>753</vt:i4>
      </vt:variant>
      <vt:variant>
        <vt:i4>0</vt:i4>
      </vt:variant>
      <vt:variant>
        <vt:i4>5</vt:i4>
      </vt:variant>
      <vt:variant>
        <vt:lpwstr>https://homehealthcahps.org/</vt:lpwstr>
      </vt:variant>
      <vt:variant>
        <vt:lpwstr/>
      </vt:variant>
      <vt:variant>
        <vt:i4>1966129</vt:i4>
      </vt:variant>
      <vt:variant>
        <vt:i4>746</vt:i4>
      </vt:variant>
      <vt:variant>
        <vt:i4>0</vt:i4>
      </vt:variant>
      <vt:variant>
        <vt:i4>5</vt:i4>
      </vt:variant>
      <vt:variant>
        <vt:lpwstr/>
      </vt:variant>
      <vt:variant>
        <vt:lpwstr>_Toc216971206</vt:lpwstr>
      </vt:variant>
      <vt:variant>
        <vt:i4>1966129</vt:i4>
      </vt:variant>
      <vt:variant>
        <vt:i4>740</vt:i4>
      </vt:variant>
      <vt:variant>
        <vt:i4>0</vt:i4>
      </vt:variant>
      <vt:variant>
        <vt:i4>5</vt:i4>
      </vt:variant>
      <vt:variant>
        <vt:lpwstr/>
      </vt:variant>
      <vt:variant>
        <vt:lpwstr>_Toc216971205</vt:lpwstr>
      </vt:variant>
      <vt:variant>
        <vt:i4>1966129</vt:i4>
      </vt:variant>
      <vt:variant>
        <vt:i4>734</vt:i4>
      </vt:variant>
      <vt:variant>
        <vt:i4>0</vt:i4>
      </vt:variant>
      <vt:variant>
        <vt:i4>5</vt:i4>
      </vt:variant>
      <vt:variant>
        <vt:lpwstr/>
      </vt:variant>
      <vt:variant>
        <vt:lpwstr>_Toc216971204</vt:lpwstr>
      </vt:variant>
      <vt:variant>
        <vt:i4>1966129</vt:i4>
      </vt:variant>
      <vt:variant>
        <vt:i4>728</vt:i4>
      </vt:variant>
      <vt:variant>
        <vt:i4>0</vt:i4>
      </vt:variant>
      <vt:variant>
        <vt:i4>5</vt:i4>
      </vt:variant>
      <vt:variant>
        <vt:lpwstr/>
      </vt:variant>
      <vt:variant>
        <vt:lpwstr>_Toc216971203</vt:lpwstr>
      </vt:variant>
      <vt:variant>
        <vt:i4>1966129</vt:i4>
      </vt:variant>
      <vt:variant>
        <vt:i4>722</vt:i4>
      </vt:variant>
      <vt:variant>
        <vt:i4>0</vt:i4>
      </vt:variant>
      <vt:variant>
        <vt:i4>5</vt:i4>
      </vt:variant>
      <vt:variant>
        <vt:lpwstr/>
      </vt:variant>
      <vt:variant>
        <vt:lpwstr>_Toc216971202</vt:lpwstr>
      </vt:variant>
      <vt:variant>
        <vt:i4>1966129</vt:i4>
      </vt:variant>
      <vt:variant>
        <vt:i4>716</vt:i4>
      </vt:variant>
      <vt:variant>
        <vt:i4>0</vt:i4>
      </vt:variant>
      <vt:variant>
        <vt:i4>5</vt:i4>
      </vt:variant>
      <vt:variant>
        <vt:lpwstr/>
      </vt:variant>
      <vt:variant>
        <vt:lpwstr>_Toc216971201</vt:lpwstr>
      </vt:variant>
      <vt:variant>
        <vt:i4>1966129</vt:i4>
      </vt:variant>
      <vt:variant>
        <vt:i4>710</vt:i4>
      </vt:variant>
      <vt:variant>
        <vt:i4>0</vt:i4>
      </vt:variant>
      <vt:variant>
        <vt:i4>5</vt:i4>
      </vt:variant>
      <vt:variant>
        <vt:lpwstr/>
      </vt:variant>
      <vt:variant>
        <vt:lpwstr>_Toc216971200</vt:lpwstr>
      </vt:variant>
      <vt:variant>
        <vt:i4>1507378</vt:i4>
      </vt:variant>
      <vt:variant>
        <vt:i4>704</vt:i4>
      </vt:variant>
      <vt:variant>
        <vt:i4>0</vt:i4>
      </vt:variant>
      <vt:variant>
        <vt:i4>5</vt:i4>
      </vt:variant>
      <vt:variant>
        <vt:lpwstr/>
      </vt:variant>
      <vt:variant>
        <vt:lpwstr>_Toc216971199</vt:lpwstr>
      </vt:variant>
      <vt:variant>
        <vt:i4>1507378</vt:i4>
      </vt:variant>
      <vt:variant>
        <vt:i4>698</vt:i4>
      </vt:variant>
      <vt:variant>
        <vt:i4>0</vt:i4>
      </vt:variant>
      <vt:variant>
        <vt:i4>5</vt:i4>
      </vt:variant>
      <vt:variant>
        <vt:lpwstr/>
      </vt:variant>
      <vt:variant>
        <vt:lpwstr>_Toc216971198</vt:lpwstr>
      </vt:variant>
      <vt:variant>
        <vt:i4>1507378</vt:i4>
      </vt:variant>
      <vt:variant>
        <vt:i4>692</vt:i4>
      </vt:variant>
      <vt:variant>
        <vt:i4>0</vt:i4>
      </vt:variant>
      <vt:variant>
        <vt:i4>5</vt:i4>
      </vt:variant>
      <vt:variant>
        <vt:lpwstr/>
      </vt:variant>
      <vt:variant>
        <vt:lpwstr>_Toc216971197</vt:lpwstr>
      </vt:variant>
      <vt:variant>
        <vt:i4>1507378</vt:i4>
      </vt:variant>
      <vt:variant>
        <vt:i4>686</vt:i4>
      </vt:variant>
      <vt:variant>
        <vt:i4>0</vt:i4>
      </vt:variant>
      <vt:variant>
        <vt:i4>5</vt:i4>
      </vt:variant>
      <vt:variant>
        <vt:lpwstr/>
      </vt:variant>
      <vt:variant>
        <vt:lpwstr>_Toc216971196</vt:lpwstr>
      </vt:variant>
      <vt:variant>
        <vt:i4>1507378</vt:i4>
      </vt:variant>
      <vt:variant>
        <vt:i4>680</vt:i4>
      </vt:variant>
      <vt:variant>
        <vt:i4>0</vt:i4>
      </vt:variant>
      <vt:variant>
        <vt:i4>5</vt:i4>
      </vt:variant>
      <vt:variant>
        <vt:lpwstr/>
      </vt:variant>
      <vt:variant>
        <vt:lpwstr>_Toc216971195</vt:lpwstr>
      </vt:variant>
      <vt:variant>
        <vt:i4>1507378</vt:i4>
      </vt:variant>
      <vt:variant>
        <vt:i4>671</vt:i4>
      </vt:variant>
      <vt:variant>
        <vt:i4>0</vt:i4>
      </vt:variant>
      <vt:variant>
        <vt:i4>5</vt:i4>
      </vt:variant>
      <vt:variant>
        <vt:lpwstr/>
      </vt:variant>
      <vt:variant>
        <vt:lpwstr>_Toc216971194</vt:lpwstr>
      </vt:variant>
      <vt:variant>
        <vt:i4>1507378</vt:i4>
      </vt:variant>
      <vt:variant>
        <vt:i4>665</vt:i4>
      </vt:variant>
      <vt:variant>
        <vt:i4>0</vt:i4>
      </vt:variant>
      <vt:variant>
        <vt:i4>5</vt:i4>
      </vt:variant>
      <vt:variant>
        <vt:lpwstr/>
      </vt:variant>
      <vt:variant>
        <vt:lpwstr>_Toc216971193</vt:lpwstr>
      </vt:variant>
      <vt:variant>
        <vt:i4>1507378</vt:i4>
      </vt:variant>
      <vt:variant>
        <vt:i4>659</vt:i4>
      </vt:variant>
      <vt:variant>
        <vt:i4>0</vt:i4>
      </vt:variant>
      <vt:variant>
        <vt:i4>5</vt:i4>
      </vt:variant>
      <vt:variant>
        <vt:lpwstr/>
      </vt:variant>
      <vt:variant>
        <vt:lpwstr>_Toc216971192</vt:lpwstr>
      </vt:variant>
      <vt:variant>
        <vt:i4>1507378</vt:i4>
      </vt:variant>
      <vt:variant>
        <vt:i4>653</vt:i4>
      </vt:variant>
      <vt:variant>
        <vt:i4>0</vt:i4>
      </vt:variant>
      <vt:variant>
        <vt:i4>5</vt:i4>
      </vt:variant>
      <vt:variant>
        <vt:lpwstr/>
      </vt:variant>
      <vt:variant>
        <vt:lpwstr>_Toc216971191</vt:lpwstr>
      </vt:variant>
      <vt:variant>
        <vt:i4>1507378</vt:i4>
      </vt:variant>
      <vt:variant>
        <vt:i4>647</vt:i4>
      </vt:variant>
      <vt:variant>
        <vt:i4>0</vt:i4>
      </vt:variant>
      <vt:variant>
        <vt:i4>5</vt:i4>
      </vt:variant>
      <vt:variant>
        <vt:lpwstr/>
      </vt:variant>
      <vt:variant>
        <vt:lpwstr>_Toc216971190</vt:lpwstr>
      </vt:variant>
      <vt:variant>
        <vt:i4>1441842</vt:i4>
      </vt:variant>
      <vt:variant>
        <vt:i4>641</vt:i4>
      </vt:variant>
      <vt:variant>
        <vt:i4>0</vt:i4>
      </vt:variant>
      <vt:variant>
        <vt:i4>5</vt:i4>
      </vt:variant>
      <vt:variant>
        <vt:lpwstr/>
      </vt:variant>
      <vt:variant>
        <vt:lpwstr>_Toc216971189</vt:lpwstr>
      </vt:variant>
      <vt:variant>
        <vt:i4>1441842</vt:i4>
      </vt:variant>
      <vt:variant>
        <vt:i4>635</vt:i4>
      </vt:variant>
      <vt:variant>
        <vt:i4>0</vt:i4>
      </vt:variant>
      <vt:variant>
        <vt:i4>5</vt:i4>
      </vt:variant>
      <vt:variant>
        <vt:lpwstr/>
      </vt:variant>
      <vt:variant>
        <vt:lpwstr>_Toc216971188</vt:lpwstr>
      </vt:variant>
      <vt:variant>
        <vt:i4>1441842</vt:i4>
      </vt:variant>
      <vt:variant>
        <vt:i4>629</vt:i4>
      </vt:variant>
      <vt:variant>
        <vt:i4>0</vt:i4>
      </vt:variant>
      <vt:variant>
        <vt:i4>5</vt:i4>
      </vt:variant>
      <vt:variant>
        <vt:lpwstr/>
      </vt:variant>
      <vt:variant>
        <vt:lpwstr>_Toc216971187</vt:lpwstr>
      </vt:variant>
      <vt:variant>
        <vt:i4>1441842</vt:i4>
      </vt:variant>
      <vt:variant>
        <vt:i4>623</vt:i4>
      </vt:variant>
      <vt:variant>
        <vt:i4>0</vt:i4>
      </vt:variant>
      <vt:variant>
        <vt:i4>5</vt:i4>
      </vt:variant>
      <vt:variant>
        <vt:lpwstr/>
      </vt:variant>
      <vt:variant>
        <vt:lpwstr>_Toc216971186</vt:lpwstr>
      </vt:variant>
      <vt:variant>
        <vt:i4>1441842</vt:i4>
      </vt:variant>
      <vt:variant>
        <vt:i4>617</vt:i4>
      </vt:variant>
      <vt:variant>
        <vt:i4>0</vt:i4>
      </vt:variant>
      <vt:variant>
        <vt:i4>5</vt:i4>
      </vt:variant>
      <vt:variant>
        <vt:lpwstr/>
      </vt:variant>
      <vt:variant>
        <vt:lpwstr>_Toc216971185</vt:lpwstr>
      </vt:variant>
      <vt:variant>
        <vt:i4>1441846</vt:i4>
      </vt:variant>
      <vt:variant>
        <vt:i4>611</vt:i4>
      </vt:variant>
      <vt:variant>
        <vt:i4>0</vt:i4>
      </vt:variant>
      <vt:variant>
        <vt:i4>5</vt:i4>
      </vt:variant>
      <vt:variant>
        <vt:lpwstr/>
      </vt:variant>
      <vt:variant>
        <vt:lpwstr>_Toc205821386</vt:lpwstr>
      </vt:variant>
      <vt:variant>
        <vt:i4>1441842</vt:i4>
      </vt:variant>
      <vt:variant>
        <vt:i4>602</vt:i4>
      </vt:variant>
      <vt:variant>
        <vt:i4>0</vt:i4>
      </vt:variant>
      <vt:variant>
        <vt:i4>5</vt:i4>
      </vt:variant>
      <vt:variant>
        <vt:lpwstr/>
      </vt:variant>
      <vt:variant>
        <vt:lpwstr>_Toc216971184</vt:lpwstr>
      </vt:variant>
      <vt:variant>
        <vt:i4>1441842</vt:i4>
      </vt:variant>
      <vt:variant>
        <vt:i4>596</vt:i4>
      </vt:variant>
      <vt:variant>
        <vt:i4>0</vt:i4>
      </vt:variant>
      <vt:variant>
        <vt:i4>5</vt:i4>
      </vt:variant>
      <vt:variant>
        <vt:lpwstr/>
      </vt:variant>
      <vt:variant>
        <vt:lpwstr>_Toc216971183</vt:lpwstr>
      </vt:variant>
      <vt:variant>
        <vt:i4>1441842</vt:i4>
      </vt:variant>
      <vt:variant>
        <vt:i4>590</vt:i4>
      </vt:variant>
      <vt:variant>
        <vt:i4>0</vt:i4>
      </vt:variant>
      <vt:variant>
        <vt:i4>5</vt:i4>
      </vt:variant>
      <vt:variant>
        <vt:lpwstr/>
      </vt:variant>
      <vt:variant>
        <vt:lpwstr>_Toc216971182</vt:lpwstr>
      </vt:variant>
      <vt:variant>
        <vt:i4>1441842</vt:i4>
      </vt:variant>
      <vt:variant>
        <vt:i4>584</vt:i4>
      </vt:variant>
      <vt:variant>
        <vt:i4>0</vt:i4>
      </vt:variant>
      <vt:variant>
        <vt:i4>5</vt:i4>
      </vt:variant>
      <vt:variant>
        <vt:lpwstr/>
      </vt:variant>
      <vt:variant>
        <vt:lpwstr>_Toc216971181</vt:lpwstr>
      </vt:variant>
      <vt:variant>
        <vt:i4>1441842</vt:i4>
      </vt:variant>
      <vt:variant>
        <vt:i4>578</vt:i4>
      </vt:variant>
      <vt:variant>
        <vt:i4>0</vt:i4>
      </vt:variant>
      <vt:variant>
        <vt:i4>5</vt:i4>
      </vt:variant>
      <vt:variant>
        <vt:lpwstr/>
      </vt:variant>
      <vt:variant>
        <vt:lpwstr>_Toc216971180</vt:lpwstr>
      </vt:variant>
      <vt:variant>
        <vt:i4>1638450</vt:i4>
      </vt:variant>
      <vt:variant>
        <vt:i4>572</vt:i4>
      </vt:variant>
      <vt:variant>
        <vt:i4>0</vt:i4>
      </vt:variant>
      <vt:variant>
        <vt:i4>5</vt:i4>
      </vt:variant>
      <vt:variant>
        <vt:lpwstr/>
      </vt:variant>
      <vt:variant>
        <vt:lpwstr>_Toc216971179</vt:lpwstr>
      </vt:variant>
      <vt:variant>
        <vt:i4>1638450</vt:i4>
      </vt:variant>
      <vt:variant>
        <vt:i4>566</vt:i4>
      </vt:variant>
      <vt:variant>
        <vt:i4>0</vt:i4>
      </vt:variant>
      <vt:variant>
        <vt:i4>5</vt:i4>
      </vt:variant>
      <vt:variant>
        <vt:lpwstr/>
      </vt:variant>
      <vt:variant>
        <vt:lpwstr>_Toc216971178</vt:lpwstr>
      </vt:variant>
      <vt:variant>
        <vt:i4>1638450</vt:i4>
      </vt:variant>
      <vt:variant>
        <vt:i4>560</vt:i4>
      </vt:variant>
      <vt:variant>
        <vt:i4>0</vt:i4>
      </vt:variant>
      <vt:variant>
        <vt:i4>5</vt:i4>
      </vt:variant>
      <vt:variant>
        <vt:lpwstr/>
      </vt:variant>
      <vt:variant>
        <vt:lpwstr>_Toc216971177</vt:lpwstr>
      </vt:variant>
      <vt:variant>
        <vt:i4>1638450</vt:i4>
      </vt:variant>
      <vt:variant>
        <vt:i4>554</vt:i4>
      </vt:variant>
      <vt:variant>
        <vt:i4>0</vt:i4>
      </vt:variant>
      <vt:variant>
        <vt:i4>5</vt:i4>
      </vt:variant>
      <vt:variant>
        <vt:lpwstr/>
      </vt:variant>
      <vt:variant>
        <vt:lpwstr>_Toc216971176</vt:lpwstr>
      </vt:variant>
      <vt:variant>
        <vt:i4>1638450</vt:i4>
      </vt:variant>
      <vt:variant>
        <vt:i4>548</vt:i4>
      </vt:variant>
      <vt:variant>
        <vt:i4>0</vt:i4>
      </vt:variant>
      <vt:variant>
        <vt:i4>5</vt:i4>
      </vt:variant>
      <vt:variant>
        <vt:lpwstr/>
      </vt:variant>
      <vt:variant>
        <vt:lpwstr>_Toc216971175</vt:lpwstr>
      </vt:variant>
      <vt:variant>
        <vt:i4>1638450</vt:i4>
      </vt:variant>
      <vt:variant>
        <vt:i4>542</vt:i4>
      </vt:variant>
      <vt:variant>
        <vt:i4>0</vt:i4>
      </vt:variant>
      <vt:variant>
        <vt:i4>5</vt:i4>
      </vt:variant>
      <vt:variant>
        <vt:lpwstr/>
      </vt:variant>
      <vt:variant>
        <vt:lpwstr>_Toc216971174</vt:lpwstr>
      </vt:variant>
      <vt:variant>
        <vt:i4>1638450</vt:i4>
      </vt:variant>
      <vt:variant>
        <vt:i4>536</vt:i4>
      </vt:variant>
      <vt:variant>
        <vt:i4>0</vt:i4>
      </vt:variant>
      <vt:variant>
        <vt:i4>5</vt:i4>
      </vt:variant>
      <vt:variant>
        <vt:lpwstr/>
      </vt:variant>
      <vt:variant>
        <vt:lpwstr>_Toc216971173</vt:lpwstr>
      </vt:variant>
      <vt:variant>
        <vt:i4>1638450</vt:i4>
      </vt:variant>
      <vt:variant>
        <vt:i4>530</vt:i4>
      </vt:variant>
      <vt:variant>
        <vt:i4>0</vt:i4>
      </vt:variant>
      <vt:variant>
        <vt:i4>5</vt:i4>
      </vt:variant>
      <vt:variant>
        <vt:lpwstr/>
      </vt:variant>
      <vt:variant>
        <vt:lpwstr>_Toc216971172</vt:lpwstr>
      </vt:variant>
      <vt:variant>
        <vt:i4>1638450</vt:i4>
      </vt:variant>
      <vt:variant>
        <vt:i4>524</vt:i4>
      </vt:variant>
      <vt:variant>
        <vt:i4>0</vt:i4>
      </vt:variant>
      <vt:variant>
        <vt:i4>5</vt:i4>
      </vt:variant>
      <vt:variant>
        <vt:lpwstr/>
      </vt:variant>
      <vt:variant>
        <vt:lpwstr>_Toc216971171</vt:lpwstr>
      </vt:variant>
      <vt:variant>
        <vt:i4>1638450</vt:i4>
      </vt:variant>
      <vt:variant>
        <vt:i4>518</vt:i4>
      </vt:variant>
      <vt:variant>
        <vt:i4>0</vt:i4>
      </vt:variant>
      <vt:variant>
        <vt:i4>5</vt:i4>
      </vt:variant>
      <vt:variant>
        <vt:lpwstr/>
      </vt:variant>
      <vt:variant>
        <vt:lpwstr>_Toc216971170</vt:lpwstr>
      </vt:variant>
      <vt:variant>
        <vt:i4>1572914</vt:i4>
      </vt:variant>
      <vt:variant>
        <vt:i4>512</vt:i4>
      </vt:variant>
      <vt:variant>
        <vt:i4>0</vt:i4>
      </vt:variant>
      <vt:variant>
        <vt:i4>5</vt:i4>
      </vt:variant>
      <vt:variant>
        <vt:lpwstr/>
      </vt:variant>
      <vt:variant>
        <vt:lpwstr>_Toc216971169</vt:lpwstr>
      </vt:variant>
      <vt:variant>
        <vt:i4>1572914</vt:i4>
      </vt:variant>
      <vt:variant>
        <vt:i4>506</vt:i4>
      </vt:variant>
      <vt:variant>
        <vt:i4>0</vt:i4>
      </vt:variant>
      <vt:variant>
        <vt:i4>5</vt:i4>
      </vt:variant>
      <vt:variant>
        <vt:lpwstr/>
      </vt:variant>
      <vt:variant>
        <vt:lpwstr>_Toc216971168</vt:lpwstr>
      </vt:variant>
      <vt:variant>
        <vt:i4>1572914</vt:i4>
      </vt:variant>
      <vt:variant>
        <vt:i4>500</vt:i4>
      </vt:variant>
      <vt:variant>
        <vt:i4>0</vt:i4>
      </vt:variant>
      <vt:variant>
        <vt:i4>5</vt:i4>
      </vt:variant>
      <vt:variant>
        <vt:lpwstr/>
      </vt:variant>
      <vt:variant>
        <vt:lpwstr>_Toc216971167</vt:lpwstr>
      </vt:variant>
      <vt:variant>
        <vt:i4>1572914</vt:i4>
      </vt:variant>
      <vt:variant>
        <vt:i4>494</vt:i4>
      </vt:variant>
      <vt:variant>
        <vt:i4>0</vt:i4>
      </vt:variant>
      <vt:variant>
        <vt:i4>5</vt:i4>
      </vt:variant>
      <vt:variant>
        <vt:lpwstr/>
      </vt:variant>
      <vt:variant>
        <vt:lpwstr>_Toc216971166</vt:lpwstr>
      </vt:variant>
      <vt:variant>
        <vt:i4>1572914</vt:i4>
      </vt:variant>
      <vt:variant>
        <vt:i4>488</vt:i4>
      </vt:variant>
      <vt:variant>
        <vt:i4>0</vt:i4>
      </vt:variant>
      <vt:variant>
        <vt:i4>5</vt:i4>
      </vt:variant>
      <vt:variant>
        <vt:lpwstr/>
      </vt:variant>
      <vt:variant>
        <vt:lpwstr>_Toc216971165</vt:lpwstr>
      </vt:variant>
      <vt:variant>
        <vt:i4>1572914</vt:i4>
      </vt:variant>
      <vt:variant>
        <vt:i4>482</vt:i4>
      </vt:variant>
      <vt:variant>
        <vt:i4>0</vt:i4>
      </vt:variant>
      <vt:variant>
        <vt:i4>5</vt:i4>
      </vt:variant>
      <vt:variant>
        <vt:lpwstr/>
      </vt:variant>
      <vt:variant>
        <vt:lpwstr>_Toc216971164</vt:lpwstr>
      </vt:variant>
      <vt:variant>
        <vt:i4>1572914</vt:i4>
      </vt:variant>
      <vt:variant>
        <vt:i4>476</vt:i4>
      </vt:variant>
      <vt:variant>
        <vt:i4>0</vt:i4>
      </vt:variant>
      <vt:variant>
        <vt:i4>5</vt:i4>
      </vt:variant>
      <vt:variant>
        <vt:lpwstr/>
      </vt:variant>
      <vt:variant>
        <vt:lpwstr>_Toc216971163</vt:lpwstr>
      </vt:variant>
      <vt:variant>
        <vt:i4>1572914</vt:i4>
      </vt:variant>
      <vt:variant>
        <vt:i4>470</vt:i4>
      </vt:variant>
      <vt:variant>
        <vt:i4>0</vt:i4>
      </vt:variant>
      <vt:variant>
        <vt:i4>5</vt:i4>
      </vt:variant>
      <vt:variant>
        <vt:lpwstr/>
      </vt:variant>
      <vt:variant>
        <vt:lpwstr>_Toc216971162</vt:lpwstr>
      </vt:variant>
      <vt:variant>
        <vt:i4>1572914</vt:i4>
      </vt:variant>
      <vt:variant>
        <vt:i4>464</vt:i4>
      </vt:variant>
      <vt:variant>
        <vt:i4>0</vt:i4>
      </vt:variant>
      <vt:variant>
        <vt:i4>5</vt:i4>
      </vt:variant>
      <vt:variant>
        <vt:lpwstr/>
      </vt:variant>
      <vt:variant>
        <vt:lpwstr>_Toc216971161</vt:lpwstr>
      </vt:variant>
      <vt:variant>
        <vt:i4>1572914</vt:i4>
      </vt:variant>
      <vt:variant>
        <vt:i4>458</vt:i4>
      </vt:variant>
      <vt:variant>
        <vt:i4>0</vt:i4>
      </vt:variant>
      <vt:variant>
        <vt:i4>5</vt:i4>
      </vt:variant>
      <vt:variant>
        <vt:lpwstr/>
      </vt:variant>
      <vt:variant>
        <vt:lpwstr>_Toc216971160</vt:lpwstr>
      </vt:variant>
      <vt:variant>
        <vt:i4>1769522</vt:i4>
      </vt:variant>
      <vt:variant>
        <vt:i4>452</vt:i4>
      </vt:variant>
      <vt:variant>
        <vt:i4>0</vt:i4>
      </vt:variant>
      <vt:variant>
        <vt:i4>5</vt:i4>
      </vt:variant>
      <vt:variant>
        <vt:lpwstr/>
      </vt:variant>
      <vt:variant>
        <vt:lpwstr>_Toc216971159</vt:lpwstr>
      </vt:variant>
      <vt:variant>
        <vt:i4>1769522</vt:i4>
      </vt:variant>
      <vt:variant>
        <vt:i4>446</vt:i4>
      </vt:variant>
      <vt:variant>
        <vt:i4>0</vt:i4>
      </vt:variant>
      <vt:variant>
        <vt:i4>5</vt:i4>
      </vt:variant>
      <vt:variant>
        <vt:lpwstr/>
      </vt:variant>
      <vt:variant>
        <vt:lpwstr>_Toc216971158</vt:lpwstr>
      </vt:variant>
      <vt:variant>
        <vt:i4>1769522</vt:i4>
      </vt:variant>
      <vt:variant>
        <vt:i4>440</vt:i4>
      </vt:variant>
      <vt:variant>
        <vt:i4>0</vt:i4>
      </vt:variant>
      <vt:variant>
        <vt:i4>5</vt:i4>
      </vt:variant>
      <vt:variant>
        <vt:lpwstr/>
      </vt:variant>
      <vt:variant>
        <vt:lpwstr>_Toc216971157</vt:lpwstr>
      </vt:variant>
      <vt:variant>
        <vt:i4>1769522</vt:i4>
      </vt:variant>
      <vt:variant>
        <vt:i4>434</vt:i4>
      </vt:variant>
      <vt:variant>
        <vt:i4>0</vt:i4>
      </vt:variant>
      <vt:variant>
        <vt:i4>5</vt:i4>
      </vt:variant>
      <vt:variant>
        <vt:lpwstr/>
      </vt:variant>
      <vt:variant>
        <vt:lpwstr>_Toc216971156</vt:lpwstr>
      </vt:variant>
      <vt:variant>
        <vt:i4>1769522</vt:i4>
      </vt:variant>
      <vt:variant>
        <vt:i4>428</vt:i4>
      </vt:variant>
      <vt:variant>
        <vt:i4>0</vt:i4>
      </vt:variant>
      <vt:variant>
        <vt:i4>5</vt:i4>
      </vt:variant>
      <vt:variant>
        <vt:lpwstr/>
      </vt:variant>
      <vt:variant>
        <vt:lpwstr>_Toc216971155</vt:lpwstr>
      </vt:variant>
      <vt:variant>
        <vt:i4>1769522</vt:i4>
      </vt:variant>
      <vt:variant>
        <vt:i4>422</vt:i4>
      </vt:variant>
      <vt:variant>
        <vt:i4>0</vt:i4>
      </vt:variant>
      <vt:variant>
        <vt:i4>5</vt:i4>
      </vt:variant>
      <vt:variant>
        <vt:lpwstr/>
      </vt:variant>
      <vt:variant>
        <vt:lpwstr>_Toc216971154</vt:lpwstr>
      </vt:variant>
      <vt:variant>
        <vt:i4>1769522</vt:i4>
      </vt:variant>
      <vt:variant>
        <vt:i4>416</vt:i4>
      </vt:variant>
      <vt:variant>
        <vt:i4>0</vt:i4>
      </vt:variant>
      <vt:variant>
        <vt:i4>5</vt:i4>
      </vt:variant>
      <vt:variant>
        <vt:lpwstr/>
      </vt:variant>
      <vt:variant>
        <vt:lpwstr>_Toc216971153</vt:lpwstr>
      </vt:variant>
      <vt:variant>
        <vt:i4>1769522</vt:i4>
      </vt:variant>
      <vt:variant>
        <vt:i4>410</vt:i4>
      </vt:variant>
      <vt:variant>
        <vt:i4>0</vt:i4>
      </vt:variant>
      <vt:variant>
        <vt:i4>5</vt:i4>
      </vt:variant>
      <vt:variant>
        <vt:lpwstr/>
      </vt:variant>
      <vt:variant>
        <vt:lpwstr>_Toc216971152</vt:lpwstr>
      </vt:variant>
      <vt:variant>
        <vt:i4>1769522</vt:i4>
      </vt:variant>
      <vt:variant>
        <vt:i4>404</vt:i4>
      </vt:variant>
      <vt:variant>
        <vt:i4>0</vt:i4>
      </vt:variant>
      <vt:variant>
        <vt:i4>5</vt:i4>
      </vt:variant>
      <vt:variant>
        <vt:lpwstr/>
      </vt:variant>
      <vt:variant>
        <vt:lpwstr>_Toc216971151</vt:lpwstr>
      </vt:variant>
      <vt:variant>
        <vt:i4>1769522</vt:i4>
      </vt:variant>
      <vt:variant>
        <vt:i4>398</vt:i4>
      </vt:variant>
      <vt:variant>
        <vt:i4>0</vt:i4>
      </vt:variant>
      <vt:variant>
        <vt:i4>5</vt:i4>
      </vt:variant>
      <vt:variant>
        <vt:lpwstr/>
      </vt:variant>
      <vt:variant>
        <vt:lpwstr>_Toc216971150</vt:lpwstr>
      </vt:variant>
      <vt:variant>
        <vt:i4>1703986</vt:i4>
      </vt:variant>
      <vt:variant>
        <vt:i4>392</vt:i4>
      </vt:variant>
      <vt:variant>
        <vt:i4>0</vt:i4>
      </vt:variant>
      <vt:variant>
        <vt:i4>5</vt:i4>
      </vt:variant>
      <vt:variant>
        <vt:lpwstr/>
      </vt:variant>
      <vt:variant>
        <vt:lpwstr>_Toc216971149</vt:lpwstr>
      </vt:variant>
      <vt:variant>
        <vt:i4>1703986</vt:i4>
      </vt:variant>
      <vt:variant>
        <vt:i4>386</vt:i4>
      </vt:variant>
      <vt:variant>
        <vt:i4>0</vt:i4>
      </vt:variant>
      <vt:variant>
        <vt:i4>5</vt:i4>
      </vt:variant>
      <vt:variant>
        <vt:lpwstr/>
      </vt:variant>
      <vt:variant>
        <vt:lpwstr>_Toc216971148</vt:lpwstr>
      </vt:variant>
      <vt:variant>
        <vt:i4>1703986</vt:i4>
      </vt:variant>
      <vt:variant>
        <vt:i4>380</vt:i4>
      </vt:variant>
      <vt:variant>
        <vt:i4>0</vt:i4>
      </vt:variant>
      <vt:variant>
        <vt:i4>5</vt:i4>
      </vt:variant>
      <vt:variant>
        <vt:lpwstr/>
      </vt:variant>
      <vt:variant>
        <vt:lpwstr>_Toc216971147</vt:lpwstr>
      </vt:variant>
      <vt:variant>
        <vt:i4>1703986</vt:i4>
      </vt:variant>
      <vt:variant>
        <vt:i4>374</vt:i4>
      </vt:variant>
      <vt:variant>
        <vt:i4>0</vt:i4>
      </vt:variant>
      <vt:variant>
        <vt:i4>5</vt:i4>
      </vt:variant>
      <vt:variant>
        <vt:lpwstr/>
      </vt:variant>
      <vt:variant>
        <vt:lpwstr>_Toc216971146</vt:lpwstr>
      </vt:variant>
      <vt:variant>
        <vt:i4>1703986</vt:i4>
      </vt:variant>
      <vt:variant>
        <vt:i4>368</vt:i4>
      </vt:variant>
      <vt:variant>
        <vt:i4>0</vt:i4>
      </vt:variant>
      <vt:variant>
        <vt:i4>5</vt:i4>
      </vt:variant>
      <vt:variant>
        <vt:lpwstr/>
      </vt:variant>
      <vt:variant>
        <vt:lpwstr>_Toc216971145</vt:lpwstr>
      </vt:variant>
      <vt:variant>
        <vt:i4>1703986</vt:i4>
      </vt:variant>
      <vt:variant>
        <vt:i4>362</vt:i4>
      </vt:variant>
      <vt:variant>
        <vt:i4>0</vt:i4>
      </vt:variant>
      <vt:variant>
        <vt:i4>5</vt:i4>
      </vt:variant>
      <vt:variant>
        <vt:lpwstr/>
      </vt:variant>
      <vt:variant>
        <vt:lpwstr>_Toc216971144</vt:lpwstr>
      </vt:variant>
      <vt:variant>
        <vt:i4>1703986</vt:i4>
      </vt:variant>
      <vt:variant>
        <vt:i4>356</vt:i4>
      </vt:variant>
      <vt:variant>
        <vt:i4>0</vt:i4>
      </vt:variant>
      <vt:variant>
        <vt:i4>5</vt:i4>
      </vt:variant>
      <vt:variant>
        <vt:lpwstr/>
      </vt:variant>
      <vt:variant>
        <vt:lpwstr>_Toc216971143</vt:lpwstr>
      </vt:variant>
      <vt:variant>
        <vt:i4>1703986</vt:i4>
      </vt:variant>
      <vt:variant>
        <vt:i4>350</vt:i4>
      </vt:variant>
      <vt:variant>
        <vt:i4>0</vt:i4>
      </vt:variant>
      <vt:variant>
        <vt:i4>5</vt:i4>
      </vt:variant>
      <vt:variant>
        <vt:lpwstr/>
      </vt:variant>
      <vt:variant>
        <vt:lpwstr>_Toc216971142</vt:lpwstr>
      </vt:variant>
      <vt:variant>
        <vt:i4>1703986</vt:i4>
      </vt:variant>
      <vt:variant>
        <vt:i4>344</vt:i4>
      </vt:variant>
      <vt:variant>
        <vt:i4>0</vt:i4>
      </vt:variant>
      <vt:variant>
        <vt:i4>5</vt:i4>
      </vt:variant>
      <vt:variant>
        <vt:lpwstr/>
      </vt:variant>
      <vt:variant>
        <vt:lpwstr>_Toc216971141</vt:lpwstr>
      </vt:variant>
      <vt:variant>
        <vt:i4>1703986</vt:i4>
      </vt:variant>
      <vt:variant>
        <vt:i4>338</vt:i4>
      </vt:variant>
      <vt:variant>
        <vt:i4>0</vt:i4>
      </vt:variant>
      <vt:variant>
        <vt:i4>5</vt:i4>
      </vt:variant>
      <vt:variant>
        <vt:lpwstr/>
      </vt:variant>
      <vt:variant>
        <vt:lpwstr>_Toc216971140</vt:lpwstr>
      </vt:variant>
      <vt:variant>
        <vt:i4>1900594</vt:i4>
      </vt:variant>
      <vt:variant>
        <vt:i4>332</vt:i4>
      </vt:variant>
      <vt:variant>
        <vt:i4>0</vt:i4>
      </vt:variant>
      <vt:variant>
        <vt:i4>5</vt:i4>
      </vt:variant>
      <vt:variant>
        <vt:lpwstr/>
      </vt:variant>
      <vt:variant>
        <vt:lpwstr>_Toc216971139</vt:lpwstr>
      </vt:variant>
      <vt:variant>
        <vt:i4>1900594</vt:i4>
      </vt:variant>
      <vt:variant>
        <vt:i4>326</vt:i4>
      </vt:variant>
      <vt:variant>
        <vt:i4>0</vt:i4>
      </vt:variant>
      <vt:variant>
        <vt:i4>5</vt:i4>
      </vt:variant>
      <vt:variant>
        <vt:lpwstr/>
      </vt:variant>
      <vt:variant>
        <vt:lpwstr>_Toc216971138</vt:lpwstr>
      </vt:variant>
      <vt:variant>
        <vt:i4>1900594</vt:i4>
      </vt:variant>
      <vt:variant>
        <vt:i4>320</vt:i4>
      </vt:variant>
      <vt:variant>
        <vt:i4>0</vt:i4>
      </vt:variant>
      <vt:variant>
        <vt:i4>5</vt:i4>
      </vt:variant>
      <vt:variant>
        <vt:lpwstr/>
      </vt:variant>
      <vt:variant>
        <vt:lpwstr>_Toc216971137</vt:lpwstr>
      </vt:variant>
      <vt:variant>
        <vt:i4>1900594</vt:i4>
      </vt:variant>
      <vt:variant>
        <vt:i4>314</vt:i4>
      </vt:variant>
      <vt:variant>
        <vt:i4>0</vt:i4>
      </vt:variant>
      <vt:variant>
        <vt:i4>5</vt:i4>
      </vt:variant>
      <vt:variant>
        <vt:lpwstr/>
      </vt:variant>
      <vt:variant>
        <vt:lpwstr>_Toc216971136</vt:lpwstr>
      </vt:variant>
      <vt:variant>
        <vt:i4>1900594</vt:i4>
      </vt:variant>
      <vt:variant>
        <vt:i4>308</vt:i4>
      </vt:variant>
      <vt:variant>
        <vt:i4>0</vt:i4>
      </vt:variant>
      <vt:variant>
        <vt:i4>5</vt:i4>
      </vt:variant>
      <vt:variant>
        <vt:lpwstr/>
      </vt:variant>
      <vt:variant>
        <vt:lpwstr>_Toc216971135</vt:lpwstr>
      </vt:variant>
      <vt:variant>
        <vt:i4>1900594</vt:i4>
      </vt:variant>
      <vt:variant>
        <vt:i4>302</vt:i4>
      </vt:variant>
      <vt:variant>
        <vt:i4>0</vt:i4>
      </vt:variant>
      <vt:variant>
        <vt:i4>5</vt:i4>
      </vt:variant>
      <vt:variant>
        <vt:lpwstr/>
      </vt:variant>
      <vt:variant>
        <vt:lpwstr>_Toc216971134</vt:lpwstr>
      </vt:variant>
      <vt:variant>
        <vt:i4>1900594</vt:i4>
      </vt:variant>
      <vt:variant>
        <vt:i4>296</vt:i4>
      </vt:variant>
      <vt:variant>
        <vt:i4>0</vt:i4>
      </vt:variant>
      <vt:variant>
        <vt:i4>5</vt:i4>
      </vt:variant>
      <vt:variant>
        <vt:lpwstr/>
      </vt:variant>
      <vt:variant>
        <vt:lpwstr>_Toc216971133</vt:lpwstr>
      </vt:variant>
      <vt:variant>
        <vt:i4>1900594</vt:i4>
      </vt:variant>
      <vt:variant>
        <vt:i4>290</vt:i4>
      </vt:variant>
      <vt:variant>
        <vt:i4>0</vt:i4>
      </vt:variant>
      <vt:variant>
        <vt:i4>5</vt:i4>
      </vt:variant>
      <vt:variant>
        <vt:lpwstr/>
      </vt:variant>
      <vt:variant>
        <vt:lpwstr>_Toc216971132</vt:lpwstr>
      </vt:variant>
      <vt:variant>
        <vt:i4>1900594</vt:i4>
      </vt:variant>
      <vt:variant>
        <vt:i4>284</vt:i4>
      </vt:variant>
      <vt:variant>
        <vt:i4>0</vt:i4>
      </vt:variant>
      <vt:variant>
        <vt:i4>5</vt:i4>
      </vt:variant>
      <vt:variant>
        <vt:lpwstr/>
      </vt:variant>
      <vt:variant>
        <vt:lpwstr>_Toc216971131</vt:lpwstr>
      </vt:variant>
      <vt:variant>
        <vt:i4>1900594</vt:i4>
      </vt:variant>
      <vt:variant>
        <vt:i4>278</vt:i4>
      </vt:variant>
      <vt:variant>
        <vt:i4>0</vt:i4>
      </vt:variant>
      <vt:variant>
        <vt:i4>5</vt:i4>
      </vt:variant>
      <vt:variant>
        <vt:lpwstr/>
      </vt:variant>
      <vt:variant>
        <vt:lpwstr>_Toc216971130</vt:lpwstr>
      </vt:variant>
      <vt:variant>
        <vt:i4>1835058</vt:i4>
      </vt:variant>
      <vt:variant>
        <vt:i4>272</vt:i4>
      </vt:variant>
      <vt:variant>
        <vt:i4>0</vt:i4>
      </vt:variant>
      <vt:variant>
        <vt:i4>5</vt:i4>
      </vt:variant>
      <vt:variant>
        <vt:lpwstr/>
      </vt:variant>
      <vt:variant>
        <vt:lpwstr>_Toc216971129</vt:lpwstr>
      </vt:variant>
      <vt:variant>
        <vt:i4>1835058</vt:i4>
      </vt:variant>
      <vt:variant>
        <vt:i4>266</vt:i4>
      </vt:variant>
      <vt:variant>
        <vt:i4>0</vt:i4>
      </vt:variant>
      <vt:variant>
        <vt:i4>5</vt:i4>
      </vt:variant>
      <vt:variant>
        <vt:lpwstr/>
      </vt:variant>
      <vt:variant>
        <vt:lpwstr>_Toc216971128</vt:lpwstr>
      </vt:variant>
      <vt:variant>
        <vt:i4>1835058</vt:i4>
      </vt:variant>
      <vt:variant>
        <vt:i4>260</vt:i4>
      </vt:variant>
      <vt:variant>
        <vt:i4>0</vt:i4>
      </vt:variant>
      <vt:variant>
        <vt:i4>5</vt:i4>
      </vt:variant>
      <vt:variant>
        <vt:lpwstr/>
      </vt:variant>
      <vt:variant>
        <vt:lpwstr>_Toc216971127</vt:lpwstr>
      </vt:variant>
      <vt:variant>
        <vt:i4>1835058</vt:i4>
      </vt:variant>
      <vt:variant>
        <vt:i4>254</vt:i4>
      </vt:variant>
      <vt:variant>
        <vt:i4>0</vt:i4>
      </vt:variant>
      <vt:variant>
        <vt:i4>5</vt:i4>
      </vt:variant>
      <vt:variant>
        <vt:lpwstr/>
      </vt:variant>
      <vt:variant>
        <vt:lpwstr>_Toc216971126</vt:lpwstr>
      </vt:variant>
      <vt:variant>
        <vt:i4>1835058</vt:i4>
      </vt:variant>
      <vt:variant>
        <vt:i4>248</vt:i4>
      </vt:variant>
      <vt:variant>
        <vt:i4>0</vt:i4>
      </vt:variant>
      <vt:variant>
        <vt:i4>5</vt:i4>
      </vt:variant>
      <vt:variant>
        <vt:lpwstr/>
      </vt:variant>
      <vt:variant>
        <vt:lpwstr>_Toc216971125</vt:lpwstr>
      </vt:variant>
      <vt:variant>
        <vt:i4>1835058</vt:i4>
      </vt:variant>
      <vt:variant>
        <vt:i4>242</vt:i4>
      </vt:variant>
      <vt:variant>
        <vt:i4>0</vt:i4>
      </vt:variant>
      <vt:variant>
        <vt:i4>5</vt:i4>
      </vt:variant>
      <vt:variant>
        <vt:lpwstr/>
      </vt:variant>
      <vt:variant>
        <vt:lpwstr>_Toc216971124</vt:lpwstr>
      </vt:variant>
      <vt:variant>
        <vt:i4>1835058</vt:i4>
      </vt:variant>
      <vt:variant>
        <vt:i4>236</vt:i4>
      </vt:variant>
      <vt:variant>
        <vt:i4>0</vt:i4>
      </vt:variant>
      <vt:variant>
        <vt:i4>5</vt:i4>
      </vt:variant>
      <vt:variant>
        <vt:lpwstr/>
      </vt:variant>
      <vt:variant>
        <vt:lpwstr>_Toc216971123</vt:lpwstr>
      </vt:variant>
      <vt:variant>
        <vt:i4>1835058</vt:i4>
      </vt:variant>
      <vt:variant>
        <vt:i4>230</vt:i4>
      </vt:variant>
      <vt:variant>
        <vt:i4>0</vt:i4>
      </vt:variant>
      <vt:variant>
        <vt:i4>5</vt:i4>
      </vt:variant>
      <vt:variant>
        <vt:lpwstr/>
      </vt:variant>
      <vt:variant>
        <vt:lpwstr>_Toc216971122</vt:lpwstr>
      </vt:variant>
      <vt:variant>
        <vt:i4>1835058</vt:i4>
      </vt:variant>
      <vt:variant>
        <vt:i4>224</vt:i4>
      </vt:variant>
      <vt:variant>
        <vt:i4>0</vt:i4>
      </vt:variant>
      <vt:variant>
        <vt:i4>5</vt:i4>
      </vt:variant>
      <vt:variant>
        <vt:lpwstr/>
      </vt:variant>
      <vt:variant>
        <vt:lpwstr>_Toc216971121</vt:lpwstr>
      </vt:variant>
      <vt:variant>
        <vt:i4>1835058</vt:i4>
      </vt:variant>
      <vt:variant>
        <vt:i4>218</vt:i4>
      </vt:variant>
      <vt:variant>
        <vt:i4>0</vt:i4>
      </vt:variant>
      <vt:variant>
        <vt:i4>5</vt:i4>
      </vt:variant>
      <vt:variant>
        <vt:lpwstr/>
      </vt:variant>
      <vt:variant>
        <vt:lpwstr>_Toc216971120</vt:lpwstr>
      </vt:variant>
      <vt:variant>
        <vt:i4>2031666</vt:i4>
      </vt:variant>
      <vt:variant>
        <vt:i4>212</vt:i4>
      </vt:variant>
      <vt:variant>
        <vt:i4>0</vt:i4>
      </vt:variant>
      <vt:variant>
        <vt:i4>5</vt:i4>
      </vt:variant>
      <vt:variant>
        <vt:lpwstr/>
      </vt:variant>
      <vt:variant>
        <vt:lpwstr>_Toc216971119</vt:lpwstr>
      </vt:variant>
      <vt:variant>
        <vt:i4>2031666</vt:i4>
      </vt:variant>
      <vt:variant>
        <vt:i4>206</vt:i4>
      </vt:variant>
      <vt:variant>
        <vt:i4>0</vt:i4>
      </vt:variant>
      <vt:variant>
        <vt:i4>5</vt:i4>
      </vt:variant>
      <vt:variant>
        <vt:lpwstr/>
      </vt:variant>
      <vt:variant>
        <vt:lpwstr>_Toc216971118</vt:lpwstr>
      </vt:variant>
      <vt:variant>
        <vt:i4>2031666</vt:i4>
      </vt:variant>
      <vt:variant>
        <vt:i4>200</vt:i4>
      </vt:variant>
      <vt:variant>
        <vt:i4>0</vt:i4>
      </vt:variant>
      <vt:variant>
        <vt:i4>5</vt:i4>
      </vt:variant>
      <vt:variant>
        <vt:lpwstr/>
      </vt:variant>
      <vt:variant>
        <vt:lpwstr>_Toc216971117</vt:lpwstr>
      </vt:variant>
      <vt:variant>
        <vt:i4>2031666</vt:i4>
      </vt:variant>
      <vt:variant>
        <vt:i4>194</vt:i4>
      </vt:variant>
      <vt:variant>
        <vt:i4>0</vt:i4>
      </vt:variant>
      <vt:variant>
        <vt:i4>5</vt:i4>
      </vt:variant>
      <vt:variant>
        <vt:lpwstr/>
      </vt:variant>
      <vt:variant>
        <vt:lpwstr>_Toc216971116</vt:lpwstr>
      </vt:variant>
      <vt:variant>
        <vt:i4>2031666</vt:i4>
      </vt:variant>
      <vt:variant>
        <vt:i4>188</vt:i4>
      </vt:variant>
      <vt:variant>
        <vt:i4>0</vt:i4>
      </vt:variant>
      <vt:variant>
        <vt:i4>5</vt:i4>
      </vt:variant>
      <vt:variant>
        <vt:lpwstr/>
      </vt:variant>
      <vt:variant>
        <vt:lpwstr>_Toc216971115</vt:lpwstr>
      </vt:variant>
      <vt:variant>
        <vt:i4>2031666</vt:i4>
      </vt:variant>
      <vt:variant>
        <vt:i4>182</vt:i4>
      </vt:variant>
      <vt:variant>
        <vt:i4>0</vt:i4>
      </vt:variant>
      <vt:variant>
        <vt:i4>5</vt:i4>
      </vt:variant>
      <vt:variant>
        <vt:lpwstr/>
      </vt:variant>
      <vt:variant>
        <vt:lpwstr>_Toc216971114</vt:lpwstr>
      </vt:variant>
      <vt:variant>
        <vt:i4>2031666</vt:i4>
      </vt:variant>
      <vt:variant>
        <vt:i4>176</vt:i4>
      </vt:variant>
      <vt:variant>
        <vt:i4>0</vt:i4>
      </vt:variant>
      <vt:variant>
        <vt:i4>5</vt:i4>
      </vt:variant>
      <vt:variant>
        <vt:lpwstr/>
      </vt:variant>
      <vt:variant>
        <vt:lpwstr>_Toc216971113</vt:lpwstr>
      </vt:variant>
      <vt:variant>
        <vt:i4>2031666</vt:i4>
      </vt:variant>
      <vt:variant>
        <vt:i4>170</vt:i4>
      </vt:variant>
      <vt:variant>
        <vt:i4>0</vt:i4>
      </vt:variant>
      <vt:variant>
        <vt:i4>5</vt:i4>
      </vt:variant>
      <vt:variant>
        <vt:lpwstr/>
      </vt:variant>
      <vt:variant>
        <vt:lpwstr>_Toc216971112</vt:lpwstr>
      </vt:variant>
      <vt:variant>
        <vt:i4>2031666</vt:i4>
      </vt:variant>
      <vt:variant>
        <vt:i4>164</vt:i4>
      </vt:variant>
      <vt:variant>
        <vt:i4>0</vt:i4>
      </vt:variant>
      <vt:variant>
        <vt:i4>5</vt:i4>
      </vt:variant>
      <vt:variant>
        <vt:lpwstr/>
      </vt:variant>
      <vt:variant>
        <vt:lpwstr>_Toc216971111</vt:lpwstr>
      </vt:variant>
      <vt:variant>
        <vt:i4>2031666</vt:i4>
      </vt:variant>
      <vt:variant>
        <vt:i4>158</vt:i4>
      </vt:variant>
      <vt:variant>
        <vt:i4>0</vt:i4>
      </vt:variant>
      <vt:variant>
        <vt:i4>5</vt:i4>
      </vt:variant>
      <vt:variant>
        <vt:lpwstr/>
      </vt:variant>
      <vt:variant>
        <vt:lpwstr>_Toc216971110</vt:lpwstr>
      </vt:variant>
      <vt:variant>
        <vt:i4>1966130</vt:i4>
      </vt:variant>
      <vt:variant>
        <vt:i4>152</vt:i4>
      </vt:variant>
      <vt:variant>
        <vt:i4>0</vt:i4>
      </vt:variant>
      <vt:variant>
        <vt:i4>5</vt:i4>
      </vt:variant>
      <vt:variant>
        <vt:lpwstr/>
      </vt:variant>
      <vt:variant>
        <vt:lpwstr>_Toc216971109</vt:lpwstr>
      </vt:variant>
      <vt:variant>
        <vt:i4>1966130</vt:i4>
      </vt:variant>
      <vt:variant>
        <vt:i4>146</vt:i4>
      </vt:variant>
      <vt:variant>
        <vt:i4>0</vt:i4>
      </vt:variant>
      <vt:variant>
        <vt:i4>5</vt:i4>
      </vt:variant>
      <vt:variant>
        <vt:lpwstr/>
      </vt:variant>
      <vt:variant>
        <vt:lpwstr>_Toc216971108</vt:lpwstr>
      </vt:variant>
      <vt:variant>
        <vt:i4>1966130</vt:i4>
      </vt:variant>
      <vt:variant>
        <vt:i4>140</vt:i4>
      </vt:variant>
      <vt:variant>
        <vt:i4>0</vt:i4>
      </vt:variant>
      <vt:variant>
        <vt:i4>5</vt:i4>
      </vt:variant>
      <vt:variant>
        <vt:lpwstr/>
      </vt:variant>
      <vt:variant>
        <vt:lpwstr>_Toc216971107</vt:lpwstr>
      </vt:variant>
      <vt:variant>
        <vt:i4>1966130</vt:i4>
      </vt:variant>
      <vt:variant>
        <vt:i4>134</vt:i4>
      </vt:variant>
      <vt:variant>
        <vt:i4>0</vt:i4>
      </vt:variant>
      <vt:variant>
        <vt:i4>5</vt:i4>
      </vt:variant>
      <vt:variant>
        <vt:lpwstr/>
      </vt:variant>
      <vt:variant>
        <vt:lpwstr>_Toc216971106</vt:lpwstr>
      </vt:variant>
      <vt:variant>
        <vt:i4>1966130</vt:i4>
      </vt:variant>
      <vt:variant>
        <vt:i4>128</vt:i4>
      </vt:variant>
      <vt:variant>
        <vt:i4>0</vt:i4>
      </vt:variant>
      <vt:variant>
        <vt:i4>5</vt:i4>
      </vt:variant>
      <vt:variant>
        <vt:lpwstr/>
      </vt:variant>
      <vt:variant>
        <vt:lpwstr>_Toc216971105</vt:lpwstr>
      </vt:variant>
      <vt:variant>
        <vt:i4>1966130</vt:i4>
      </vt:variant>
      <vt:variant>
        <vt:i4>122</vt:i4>
      </vt:variant>
      <vt:variant>
        <vt:i4>0</vt:i4>
      </vt:variant>
      <vt:variant>
        <vt:i4>5</vt:i4>
      </vt:variant>
      <vt:variant>
        <vt:lpwstr/>
      </vt:variant>
      <vt:variant>
        <vt:lpwstr>_Toc216971104</vt:lpwstr>
      </vt:variant>
      <vt:variant>
        <vt:i4>1966130</vt:i4>
      </vt:variant>
      <vt:variant>
        <vt:i4>116</vt:i4>
      </vt:variant>
      <vt:variant>
        <vt:i4>0</vt:i4>
      </vt:variant>
      <vt:variant>
        <vt:i4>5</vt:i4>
      </vt:variant>
      <vt:variant>
        <vt:lpwstr/>
      </vt:variant>
      <vt:variant>
        <vt:lpwstr>_Toc216971103</vt:lpwstr>
      </vt:variant>
      <vt:variant>
        <vt:i4>1966130</vt:i4>
      </vt:variant>
      <vt:variant>
        <vt:i4>110</vt:i4>
      </vt:variant>
      <vt:variant>
        <vt:i4>0</vt:i4>
      </vt:variant>
      <vt:variant>
        <vt:i4>5</vt:i4>
      </vt:variant>
      <vt:variant>
        <vt:lpwstr/>
      </vt:variant>
      <vt:variant>
        <vt:lpwstr>_Toc216971102</vt:lpwstr>
      </vt:variant>
      <vt:variant>
        <vt:i4>1966130</vt:i4>
      </vt:variant>
      <vt:variant>
        <vt:i4>104</vt:i4>
      </vt:variant>
      <vt:variant>
        <vt:i4>0</vt:i4>
      </vt:variant>
      <vt:variant>
        <vt:i4>5</vt:i4>
      </vt:variant>
      <vt:variant>
        <vt:lpwstr/>
      </vt:variant>
      <vt:variant>
        <vt:lpwstr>_Toc216971101</vt:lpwstr>
      </vt:variant>
      <vt:variant>
        <vt:i4>1966130</vt:i4>
      </vt:variant>
      <vt:variant>
        <vt:i4>98</vt:i4>
      </vt:variant>
      <vt:variant>
        <vt:i4>0</vt:i4>
      </vt:variant>
      <vt:variant>
        <vt:i4>5</vt:i4>
      </vt:variant>
      <vt:variant>
        <vt:lpwstr/>
      </vt:variant>
      <vt:variant>
        <vt:lpwstr>_Toc216971100</vt:lpwstr>
      </vt:variant>
      <vt:variant>
        <vt:i4>1507379</vt:i4>
      </vt:variant>
      <vt:variant>
        <vt:i4>92</vt:i4>
      </vt:variant>
      <vt:variant>
        <vt:i4>0</vt:i4>
      </vt:variant>
      <vt:variant>
        <vt:i4>5</vt:i4>
      </vt:variant>
      <vt:variant>
        <vt:lpwstr/>
      </vt:variant>
      <vt:variant>
        <vt:lpwstr>_Toc216971099</vt:lpwstr>
      </vt:variant>
      <vt:variant>
        <vt:i4>1507379</vt:i4>
      </vt:variant>
      <vt:variant>
        <vt:i4>86</vt:i4>
      </vt:variant>
      <vt:variant>
        <vt:i4>0</vt:i4>
      </vt:variant>
      <vt:variant>
        <vt:i4>5</vt:i4>
      </vt:variant>
      <vt:variant>
        <vt:lpwstr/>
      </vt:variant>
      <vt:variant>
        <vt:lpwstr>_Toc216971098</vt:lpwstr>
      </vt:variant>
      <vt:variant>
        <vt:i4>1507379</vt:i4>
      </vt:variant>
      <vt:variant>
        <vt:i4>80</vt:i4>
      </vt:variant>
      <vt:variant>
        <vt:i4>0</vt:i4>
      </vt:variant>
      <vt:variant>
        <vt:i4>5</vt:i4>
      </vt:variant>
      <vt:variant>
        <vt:lpwstr/>
      </vt:variant>
      <vt:variant>
        <vt:lpwstr>_Toc216971097</vt:lpwstr>
      </vt:variant>
      <vt:variant>
        <vt:i4>1507379</vt:i4>
      </vt:variant>
      <vt:variant>
        <vt:i4>74</vt:i4>
      </vt:variant>
      <vt:variant>
        <vt:i4>0</vt:i4>
      </vt:variant>
      <vt:variant>
        <vt:i4>5</vt:i4>
      </vt:variant>
      <vt:variant>
        <vt:lpwstr/>
      </vt:variant>
      <vt:variant>
        <vt:lpwstr>_Toc216971096</vt:lpwstr>
      </vt:variant>
      <vt:variant>
        <vt:i4>1507379</vt:i4>
      </vt:variant>
      <vt:variant>
        <vt:i4>68</vt:i4>
      </vt:variant>
      <vt:variant>
        <vt:i4>0</vt:i4>
      </vt:variant>
      <vt:variant>
        <vt:i4>5</vt:i4>
      </vt:variant>
      <vt:variant>
        <vt:lpwstr/>
      </vt:variant>
      <vt:variant>
        <vt:lpwstr>_Toc216971095</vt:lpwstr>
      </vt:variant>
      <vt:variant>
        <vt:i4>1507379</vt:i4>
      </vt:variant>
      <vt:variant>
        <vt:i4>62</vt:i4>
      </vt:variant>
      <vt:variant>
        <vt:i4>0</vt:i4>
      </vt:variant>
      <vt:variant>
        <vt:i4>5</vt:i4>
      </vt:variant>
      <vt:variant>
        <vt:lpwstr/>
      </vt:variant>
      <vt:variant>
        <vt:lpwstr>_Toc216971094</vt:lpwstr>
      </vt:variant>
      <vt:variant>
        <vt:i4>1507379</vt:i4>
      </vt:variant>
      <vt:variant>
        <vt:i4>56</vt:i4>
      </vt:variant>
      <vt:variant>
        <vt:i4>0</vt:i4>
      </vt:variant>
      <vt:variant>
        <vt:i4>5</vt:i4>
      </vt:variant>
      <vt:variant>
        <vt:lpwstr/>
      </vt:variant>
      <vt:variant>
        <vt:lpwstr>_Toc216971093</vt:lpwstr>
      </vt:variant>
      <vt:variant>
        <vt:i4>1507379</vt:i4>
      </vt:variant>
      <vt:variant>
        <vt:i4>50</vt:i4>
      </vt:variant>
      <vt:variant>
        <vt:i4>0</vt:i4>
      </vt:variant>
      <vt:variant>
        <vt:i4>5</vt:i4>
      </vt:variant>
      <vt:variant>
        <vt:lpwstr/>
      </vt:variant>
      <vt:variant>
        <vt:lpwstr>_Toc216971092</vt:lpwstr>
      </vt:variant>
      <vt:variant>
        <vt:i4>1507379</vt:i4>
      </vt:variant>
      <vt:variant>
        <vt:i4>44</vt:i4>
      </vt:variant>
      <vt:variant>
        <vt:i4>0</vt:i4>
      </vt:variant>
      <vt:variant>
        <vt:i4>5</vt:i4>
      </vt:variant>
      <vt:variant>
        <vt:lpwstr/>
      </vt:variant>
      <vt:variant>
        <vt:lpwstr>_Toc216971091</vt:lpwstr>
      </vt:variant>
      <vt:variant>
        <vt:i4>1507379</vt:i4>
      </vt:variant>
      <vt:variant>
        <vt:i4>38</vt:i4>
      </vt:variant>
      <vt:variant>
        <vt:i4>0</vt:i4>
      </vt:variant>
      <vt:variant>
        <vt:i4>5</vt:i4>
      </vt:variant>
      <vt:variant>
        <vt:lpwstr/>
      </vt:variant>
      <vt:variant>
        <vt:lpwstr>_Toc216971090</vt:lpwstr>
      </vt:variant>
      <vt:variant>
        <vt:i4>1441843</vt:i4>
      </vt:variant>
      <vt:variant>
        <vt:i4>32</vt:i4>
      </vt:variant>
      <vt:variant>
        <vt:i4>0</vt:i4>
      </vt:variant>
      <vt:variant>
        <vt:i4>5</vt:i4>
      </vt:variant>
      <vt:variant>
        <vt:lpwstr/>
      </vt:variant>
      <vt:variant>
        <vt:lpwstr>_Toc216971089</vt:lpwstr>
      </vt:variant>
      <vt:variant>
        <vt:i4>1441843</vt:i4>
      </vt:variant>
      <vt:variant>
        <vt:i4>26</vt:i4>
      </vt:variant>
      <vt:variant>
        <vt:i4>0</vt:i4>
      </vt:variant>
      <vt:variant>
        <vt:i4>5</vt:i4>
      </vt:variant>
      <vt:variant>
        <vt:lpwstr/>
      </vt:variant>
      <vt:variant>
        <vt:lpwstr>_Toc216971088</vt:lpwstr>
      </vt:variant>
      <vt:variant>
        <vt:i4>1441843</vt:i4>
      </vt:variant>
      <vt:variant>
        <vt:i4>20</vt:i4>
      </vt:variant>
      <vt:variant>
        <vt:i4>0</vt:i4>
      </vt:variant>
      <vt:variant>
        <vt:i4>5</vt:i4>
      </vt:variant>
      <vt:variant>
        <vt:lpwstr/>
      </vt:variant>
      <vt:variant>
        <vt:lpwstr>_Toc216971087</vt:lpwstr>
      </vt:variant>
      <vt:variant>
        <vt:i4>1441843</vt:i4>
      </vt:variant>
      <vt:variant>
        <vt:i4>14</vt:i4>
      </vt:variant>
      <vt:variant>
        <vt:i4>0</vt:i4>
      </vt:variant>
      <vt:variant>
        <vt:i4>5</vt:i4>
      </vt:variant>
      <vt:variant>
        <vt:lpwstr/>
      </vt:variant>
      <vt:variant>
        <vt:lpwstr>_Toc216971086</vt:lpwstr>
      </vt:variant>
      <vt:variant>
        <vt:i4>1441843</vt:i4>
      </vt:variant>
      <vt:variant>
        <vt:i4>8</vt:i4>
      </vt:variant>
      <vt:variant>
        <vt:i4>0</vt:i4>
      </vt:variant>
      <vt:variant>
        <vt:i4>5</vt:i4>
      </vt:variant>
      <vt:variant>
        <vt:lpwstr/>
      </vt:variant>
      <vt:variant>
        <vt:lpwstr>_Toc216971085</vt:lpwstr>
      </vt:variant>
      <vt:variant>
        <vt:i4>6357083</vt:i4>
      </vt:variant>
      <vt:variant>
        <vt:i4>3</vt:i4>
      </vt:variant>
      <vt:variant>
        <vt:i4>0</vt:i4>
      </vt:variant>
      <vt:variant>
        <vt:i4>5</vt:i4>
      </vt:variant>
      <vt:variant>
        <vt:lpwstr>mailto:hhcahps@rti.org</vt:lpwstr>
      </vt:variant>
      <vt:variant>
        <vt:lpwstr/>
      </vt:variant>
      <vt:variant>
        <vt:i4>1572936</vt:i4>
      </vt:variant>
      <vt:variant>
        <vt:i4>0</vt:i4>
      </vt:variant>
      <vt:variant>
        <vt:i4>0</vt:i4>
      </vt:variant>
      <vt:variant>
        <vt:i4>5</vt:i4>
      </vt:variant>
      <vt:variant>
        <vt:lpwstr>https://homehealthcahps.org/</vt:lpwstr>
      </vt:variant>
      <vt:variant>
        <vt:lpwstr/>
      </vt:variant>
      <vt:variant>
        <vt:i4>2490424</vt:i4>
      </vt:variant>
      <vt:variant>
        <vt:i4>3</vt:i4>
      </vt:variant>
      <vt:variant>
        <vt:i4>0</vt:i4>
      </vt:variant>
      <vt:variant>
        <vt:i4>5</vt:i4>
      </vt:variant>
      <vt:variant>
        <vt:lpwstr>https://www.aapor.org/Standards-Ethics/Institutional-Review-Boards/</vt:lpwstr>
      </vt:variant>
      <vt:variant>
        <vt:lpwstr/>
      </vt:variant>
      <vt:variant>
        <vt:i4>7864376</vt:i4>
      </vt:variant>
      <vt:variant>
        <vt:i4>0</vt:i4>
      </vt:variant>
      <vt:variant>
        <vt:i4>0</vt:i4>
      </vt:variant>
      <vt:variant>
        <vt:i4>5</vt:i4>
      </vt:variant>
      <vt:variant>
        <vt:lpwstr>https://www.cms.hhs.gov/HomeHealthQualityInits/</vt:lpwstr>
      </vt:variant>
      <vt:variant>
        <vt:lpwstr/>
      </vt:variant>
      <vt:variant>
        <vt:i4>2752613</vt:i4>
      </vt:variant>
      <vt:variant>
        <vt:i4>3</vt:i4>
      </vt:variant>
      <vt:variant>
        <vt:i4>0</vt:i4>
      </vt:variant>
      <vt:variant>
        <vt:i4>5</vt:i4>
      </vt:variant>
      <vt:variant>
        <vt:lpwstr>https://researchtriangleinstitute.sharepoint.com/:w:/r/sites/HHCAHPSTeam/Shared Documents/Task 04 - Training and TA/Protocols and Guidelines Manual/Version 18.0 DOCS/Table 4.3 and Ex 10.3 alternatives.docx?d=w152480420a074f9487125ed8b8164af9&amp;csf=1&amp;web=1&amp;e=YOp9BU</vt:lpwstr>
      </vt:variant>
      <vt:variant>
        <vt:lpwstr/>
      </vt:variant>
      <vt:variant>
        <vt:i4>2752613</vt:i4>
      </vt:variant>
      <vt:variant>
        <vt:i4>0</vt:i4>
      </vt:variant>
      <vt:variant>
        <vt:i4>0</vt:i4>
      </vt:variant>
      <vt:variant>
        <vt:i4>5</vt:i4>
      </vt:variant>
      <vt:variant>
        <vt:lpwstr>https://researchtriangleinstitute.sharepoint.com/:w:/r/sites/HHCAHPSTeam/Shared Documents/Task 04 - Training and TA/Protocols and Guidelines Manual/Version 18.0 DOCS/Table 4.3 and Ex 10.3 alternatives.docx?d=w152480420a074f9487125ed8b8164af9&amp;csf=1&amp;web=1&amp;e=YOp9BU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HHCAHPS Survey Protocols and Guidelines Manual, Version 18.0</dc:title>
  <dc:subject>HHCAHPS Survey Protocols and Guidelines Manual</dc:subject>
  <dc:creator>HHCAHPS</dc:creator>
  <cp:keywords>Home Health Care CAHPS;HHCAHPS Protocols and Guidelines;P&amp;G Manual;Comprehensive Manual, 2026</cp:keywords>
  <dc:description/>
  <cp:lastModifiedBy>Olenick, Cat</cp:lastModifiedBy>
  <cp:revision>154</cp:revision>
  <cp:lastPrinted>2025-12-17T21:13:00Z</cp:lastPrinted>
  <dcterms:created xsi:type="dcterms:W3CDTF">2025-12-19T14:34:00Z</dcterms:created>
  <dcterms:modified xsi:type="dcterms:W3CDTF">2025-12-30T14:28:00Z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en-us</vt:lpwstr>
  </property>
  <property fmtid="{D5CDD505-2E9C-101B-9397-08002B2CF9AE}" pid="3" name="MediaServiceImageTags">
    <vt:lpwstr/>
  </property>
  <property fmtid="{D5CDD505-2E9C-101B-9397-08002B2CF9AE}" pid="4" name="ContentTypeId">
    <vt:lpwstr>0x0101002877E4DC256E584290E7CB04386522E1</vt:lpwstr>
  </property>
</Properties>
</file>